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D" w:rsidRPr="00AB64C1" w:rsidRDefault="002B12DD" w:rsidP="002B12D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6"/>
          <w:shd w:val="clear" w:color="auto" w:fill="FFFFFF"/>
          <w:lang w:val="uz-Cyrl-UZ"/>
        </w:rPr>
      </w:pPr>
      <w:r w:rsidRPr="00AB64C1">
        <w:rPr>
          <w:rStyle w:val="a3"/>
          <w:rFonts w:ascii="Times New Roman" w:hAnsi="Times New Roman" w:cs="Times New Roman"/>
          <w:sz w:val="28"/>
          <w:szCs w:val="26"/>
          <w:shd w:val="clear" w:color="auto" w:fill="FFFFFF"/>
          <w:lang w:val="uz-Cyrl-UZ"/>
        </w:rPr>
        <w:t>“Микрокредитбанк” АТБнинг</w:t>
      </w:r>
      <w:r>
        <w:rPr>
          <w:rStyle w:val="a3"/>
          <w:rFonts w:ascii="Times New Roman" w:hAnsi="Times New Roman" w:cs="Times New Roman"/>
          <w:sz w:val="28"/>
          <w:szCs w:val="26"/>
          <w:shd w:val="clear" w:color="auto" w:fill="FFFFFF"/>
          <w:lang w:val="uz-Cyrl-UZ"/>
        </w:rPr>
        <w:t xml:space="preserve"> 2019-2020 йилларга мўлжалланган</w:t>
      </w:r>
      <w:r w:rsidRPr="00AB64C1">
        <w:rPr>
          <w:rStyle w:val="a3"/>
          <w:rFonts w:ascii="Times New Roman" w:hAnsi="Times New Roman" w:cs="Times New Roman"/>
          <w:sz w:val="28"/>
          <w:szCs w:val="26"/>
          <w:shd w:val="clear" w:color="auto" w:fill="FFFFFF"/>
          <w:lang w:val="uz-Cyrl-UZ"/>
        </w:rPr>
        <w:br/>
        <w:t>“Cифат бошқаруви тизими” сиёсати</w:t>
      </w:r>
    </w:p>
    <w:p w:rsidR="002B12DD" w:rsidRPr="00456FA8" w:rsidRDefault="002B12DD" w:rsidP="002B12D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12"/>
          <w:szCs w:val="24"/>
          <w:shd w:val="clear" w:color="auto" w:fill="FFFFFF"/>
          <w:lang w:val="uz-Cyrl-UZ"/>
        </w:rPr>
      </w:pPr>
    </w:p>
    <w:p w:rsidR="002B12DD" w:rsidRPr="00C073C6" w:rsidRDefault="002B12DD" w:rsidP="002B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73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uz-Cyrl-UZ"/>
        </w:rPr>
        <w:t xml:space="preserve">“Микрокредитбанк” акциядорлик-тижорат банки 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Ўзбекистон Республикаси Президентининг 2006 йил 5 майдаги “Микрокредитбанк” акциядорлик-тижорат банкини ташкил этиш тўғрисида”ги  ПФ-3750-сонли Фармони асосида ташкил этилди.</w:t>
      </w:r>
    </w:p>
    <w:p w:rsidR="002B12DD" w:rsidRPr="00C073C6" w:rsidRDefault="002B12DD" w:rsidP="002B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073C6">
        <w:rPr>
          <w:rFonts w:ascii="Times New Roman" w:hAnsi="Times New Roman" w:cs="Times New Roman"/>
          <w:sz w:val="24"/>
          <w:szCs w:val="24"/>
          <w:lang w:val="uz-Cyrl-UZ"/>
        </w:rPr>
        <w:t>Банк</w:t>
      </w:r>
      <w:r w:rsidRPr="004C7A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алқаро молиявий институтлар ҳамда чет эл тижорат банклари билан ҳамкорлик алоқаларини ўрнитган. Улар қаторида, Жа</w:t>
      </w: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о</w:t>
      </w:r>
      <w:r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 xml:space="preserve"> банки, </w:t>
      </w: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усусий секторни ривожлантириш Ислом корпорацияси, Осиё банкирлар ассоциацияси, Қишлоқ хўжалигини ривожлантириш халқаро фонди, Германия жамғарма кассалари фонди каби ташкилотлар мавжуд.</w:t>
      </w:r>
    </w:p>
    <w:p w:rsidR="002B12DD" w:rsidRPr="009A455E" w:rsidRDefault="002B12DD" w:rsidP="002B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озирги кунда банк «BB</w:t>
      </w:r>
      <w:r w:rsidRPr="00484ED2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» даражасидаги «Fitch</w:t>
      </w:r>
      <w:r w:rsidRPr="009656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Ratings</w:t>
      </w:r>
      <w:r w:rsidRPr="009656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73C6">
        <w:rPr>
          <w:rFonts w:ascii="Times New Roman" w:hAnsi="Times New Roman" w:cs="Times New Roman"/>
          <w:sz w:val="24"/>
          <w:szCs w:val="24"/>
          <w:lang w:val="uz-Cyrl-UZ"/>
        </w:rPr>
        <w:t>Ltd.» ташкилотининг рейтингига эга. Рейтинг баҳоси - «Барқарор» бўлиб, у активлар сифатининг қониқарли даражада эканлигини, даромаднинг яхшилигини, ликвидлилик ва капитал етарлилик даражасининг талабларга мос эканлигини ўзида акс эттиради.</w:t>
      </w:r>
    </w:p>
    <w:p w:rsidR="002B12DD" w:rsidRPr="00AB64C1" w:rsidRDefault="002B12DD" w:rsidP="002B1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B64C1">
        <w:rPr>
          <w:rFonts w:ascii="Times New Roman" w:hAnsi="Times New Roman" w:cs="Times New Roman"/>
          <w:b/>
          <w:sz w:val="24"/>
          <w:szCs w:val="24"/>
          <w:lang w:val="uz-Cyrl-UZ"/>
        </w:rPr>
        <w:t>Банк миссияси</w:t>
      </w:r>
    </w:p>
    <w:p w:rsidR="002B12DD" w:rsidRDefault="002B12DD" w:rsidP="002B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C5D41">
        <w:rPr>
          <w:rFonts w:ascii="Times New Roman" w:hAnsi="Times New Roman" w:cs="Times New Roman"/>
          <w:sz w:val="24"/>
          <w:szCs w:val="24"/>
          <w:lang w:val="uz-Cyrl-UZ"/>
        </w:rPr>
        <w:t>Кичик бизнес, хусусий тадбиркорликни ривожлантириш, якка тартибдаги меҳнат фаолиятини, кам таъминланганларни қўллаб-қувватлаш, ҳунармандчилик ва касаначиликни фаоллаштириш йўли билан янги иш ўринларини яратиш, айниқса қишлоқ жойларда аҳоли кенг табақаларининг микромолиявий хизматлардан баҳраманд бўлишини таъминлаш учун молиявий маблағлар бериш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B12DD" w:rsidRPr="00AB64C1" w:rsidRDefault="002B12DD" w:rsidP="002B1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B64C1">
        <w:rPr>
          <w:rFonts w:ascii="Times New Roman" w:hAnsi="Times New Roman" w:cs="Times New Roman"/>
          <w:b/>
          <w:sz w:val="24"/>
          <w:szCs w:val="24"/>
          <w:lang w:val="uz-Cyrl-UZ"/>
        </w:rPr>
        <w:t>Банк стратегияси</w:t>
      </w:r>
    </w:p>
    <w:p w:rsidR="002B12DD" w:rsidRPr="00112D3F" w:rsidRDefault="002B12DD" w:rsidP="002B12DD">
      <w:pPr>
        <w:spacing w:after="0" w:line="240" w:lineRule="auto"/>
        <w:ind w:left="284" w:firstLine="425"/>
        <w:rPr>
          <w:rFonts w:ascii="Times New Roman" w:hAnsi="Times New Roman" w:cs="Times New Roman"/>
          <w:szCs w:val="24"/>
          <w:lang w:val="uz-Cyrl-UZ"/>
        </w:rPr>
      </w:pPr>
      <w:r w:rsidRPr="00112D3F">
        <w:rPr>
          <w:rFonts w:ascii="Times New Roman" w:hAnsi="Times New Roman" w:cs="Times New Roman"/>
          <w:sz w:val="24"/>
          <w:szCs w:val="28"/>
          <w:lang w:val="uz-Cyrl-UZ"/>
        </w:rPr>
        <w:t>Моддий инфратузилмани ривожлантириш;</w:t>
      </w:r>
    </w:p>
    <w:p w:rsidR="002B12DD" w:rsidRPr="00112D3F" w:rsidRDefault="002B12DD" w:rsidP="002B12DD">
      <w:pPr>
        <w:tabs>
          <w:tab w:val="left" w:pos="142"/>
        </w:tabs>
        <w:spacing w:after="0" w:line="240" w:lineRule="auto"/>
        <w:ind w:left="284" w:firstLine="425"/>
        <w:rPr>
          <w:rFonts w:ascii="Times New Roman" w:hAnsi="Times New Roman" w:cs="Times New Roman"/>
          <w:szCs w:val="24"/>
          <w:lang w:val="uz-Cyrl-UZ"/>
        </w:rPr>
      </w:pPr>
      <w:r w:rsidRPr="00112D3F">
        <w:rPr>
          <w:rFonts w:ascii="Times New Roman" w:hAnsi="Times New Roman" w:cs="Times New Roman"/>
          <w:sz w:val="24"/>
          <w:szCs w:val="28"/>
          <w:lang w:val="uz-Cyrl-UZ"/>
        </w:rPr>
        <w:t>Стратегик ҳамкорликни ривожлантириш;</w:t>
      </w:r>
    </w:p>
    <w:p w:rsidR="002B12DD" w:rsidRPr="00112D3F" w:rsidRDefault="002B12DD" w:rsidP="002B12DD">
      <w:pPr>
        <w:spacing w:after="0" w:line="240" w:lineRule="auto"/>
        <w:ind w:left="284" w:firstLine="425"/>
        <w:rPr>
          <w:rFonts w:ascii="Times New Roman" w:hAnsi="Times New Roman" w:cs="Times New Roman"/>
          <w:szCs w:val="24"/>
          <w:lang w:val="uz-Cyrl-UZ"/>
        </w:rPr>
      </w:pPr>
      <w:r w:rsidRPr="00112D3F">
        <w:rPr>
          <w:rFonts w:ascii="Times New Roman" w:hAnsi="Times New Roman" w:cs="Times New Roman"/>
          <w:sz w:val="24"/>
          <w:szCs w:val="28"/>
          <w:lang w:val="uz-Cyrl-UZ"/>
        </w:rPr>
        <w:t>IT ни қўллашни такомиллаштириш;</w:t>
      </w:r>
    </w:p>
    <w:p w:rsidR="002B12DD" w:rsidRDefault="002B12DD" w:rsidP="002B12D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Ривожланган мамлакатлар банк тизими ва маҳсулотларини ўрганиш ҳамда </w:t>
      </w:r>
    </w:p>
    <w:p w:rsidR="002B12DD" w:rsidRDefault="002B12DD" w:rsidP="002B12D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жорий қилиш</w:t>
      </w:r>
      <w:r w:rsidRPr="00112D3F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2B12DD" w:rsidRPr="006931C2" w:rsidRDefault="002B12DD" w:rsidP="002B12DD">
      <w:pPr>
        <w:spacing w:after="0" w:line="240" w:lineRule="auto"/>
        <w:ind w:left="284" w:firstLine="425"/>
        <w:rPr>
          <w:rFonts w:ascii="Times New Roman" w:hAnsi="Times New Roman" w:cs="Times New Roman"/>
          <w:szCs w:val="24"/>
          <w:lang w:val="uz-Cyrl-UZ"/>
        </w:rPr>
      </w:pPr>
    </w:p>
    <w:p w:rsidR="002B12DD" w:rsidRDefault="002B12DD" w:rsidP="002B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073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Банкниг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“Сифат бошқарув тизими”даги </w:t>
      </w:r>
      <w:r w:rsidRPr="00C073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асосий мақсад ва устувор йўналишлари </w:t>
      </w:r>
      <w:r w:rsidRPr="00937E88">
        <w:rPr>
          <w:rFonts w:ascii="Times New Roman" w:hAnsi="Times New Roman" w:cs="Times New Roman"/>
          <w:b/>
          <w:sz w:val="24"/>
          <w:szCs w:val="24"/>
          <w:lang w:val="uz-Cyrl-UZ"/>
        </w:rPr>
        <w:t>қуйидагилардир</w:t>
      </w:r>
      <w:r w:rsidRPr="00C073C6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2B12DD" w:rsidRDefault="002B12DD" w:rsidP="002B12D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</w:pPr>
    </w:p>
    <w:p w:rsidR="002B12DD" w:rsidRPr="00112D3F" w:rsidRDefault="002B12DD" w:rsidP="002B12D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  <w:t>Янги банк хизматларини жорий қилиш;</w:t>
      </w:r>
    </w:p>
    <w:p w:rsidR="002B12DD" w:rsidRPr="00112D3F" w:rsidRDefault="002B12DD" w:rsidP="002B12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  <w:t>Банк инфратузилмасини такомиллаштириш</w:t>
      </w:r>
      <w:r w:rsidRPr="00112D3F">
        <w:rPr>
          <w:rFonts w:ascii="Times New Roman" w:hAnsi="Times New Roman" w:cs="Times New Roman"/>
          <w:i/>
          <w:sz w:val="24"/>
          <w:szCs w:val="24"/>
          <w:lang w:val="uz-Cyrl-UZ"/>
        </w:rPr>
        <w:t>;</w:t>
      </w:r>
    </w:p>
    <w:p w:rsidR="002B12DD" w:rsidRPr="00112D3F" w:rsidRDefault="002B12DD" w:rsidP="002B12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hAnsi="Times New Roman" w:cs="Times New Roman"/>
          <w:i/>
          <w:sz w:val="24"/>
          <w:szCs w:val="24"/>
          <w:lang w:val="uz-Cyrl-UZ"/>
        </w:rPr>
        <w:t>Хизмат кўрсатиш пунктларини кўпайтириш</w:t>
      </w:r>
    </w:p>
    <w:p w:rsidR="002B12DD" w:rsidRPr="00112D3F" w:rsidRDefault="002B12DD" w:rsidP="002B12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hAnsi="Times New Roman" w:cs="Times New Roman"/>
          <w:i/>
          <w:sz w:val="24"/>
          <w:szCs w:val="24"/>
          <w:lang w:val="uz-Cyrl-UZ"/>
        </w:rPr>
        <w:t>Банк фаолиятини автоматлаштириш;</w:t>
      </w:r>
    </w:p>
    <w:p w:rsidR="002B12DD" w:rsidRPr="00112D3F" w:rsidRDefault="002B12DD" w:rsidP="002B12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  <w:t>Ўзбекистон Республикасида иқтисодиётни қўллаб қувватлаш;</w:t>
      </w:r>
    </w:p>
    <w:p w:rsidR="002B12DD" w:rsidRPr="000C52DC" w:rsidRDefault="002B12DD" w:rsidP="002B12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112D3F"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  <w:t>Ходимлар малакасини ошириш.</w:t>
      </w:r>
    </w:p>
    <w:p w:rsidR="002B12DD" w:rsidRPr="000C52DC" w:rsidRDefault="002B12DD" w:rsidP="002B12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2B12DD" w:rsidRPr="00C073C6" w:rsidRDefault="002B12DD" w:rsidP="002B12D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073C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uz-Cyrl-UZ"/>
        </w:rPr>
        <w:t xml:space="preserve"> “Микрокредитбанк” АТБ Бошқаруви қуйидагиларни ўз зиммасига олади:</w:t>
      </w:r>
    </w:p>
    <w:p w:rsidR="002B12DD" w:rsidRPr="00E30F1A" w:rsidRDefault="002B12DD" w:rsidP="002B12D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30F1A">
        <w:rPr>
          <w:rFonts w:ascii="Times New Roman" w:hAnsi="Times New Roman" w:cs="Times New Roman"/>
          <w:sz w:val="24"/>
          <w:szCs w:val="24"/>
          <w:lang w:val="uz-Cyrl-UZ"/>
        </w:rPr>
        <w:t>Банкниг барча ходимлари томонидан ISO 9001:2015 сифат бошқаруви ҳалкаро стандарти талабларини бажариш, қонунчилик талаблари хамда истеъмолчи томонидан қўйилган талабларни бажарилишини таъминлаш, қўйилган вазифаларни бажаришда керак бўладиган барча ресурслар билан таъминлаш;</w:t>
      </w:r>
    </w:p>
    <w:p w:rsidR="002B12DD" w:rsidRDefault="002B12DD" w:rsidP="002B12D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E30F1A">
        <w:rPr>
          <w:rFonts w:ascii="Times New Roman" w:hAnsi="Times New Roman" w:cs="Times New Roman"/>
          <w:sz w:val="24"/>
          <w:szCs w:val="24"/>
          <w:lang w:val="uz-Cyrl-UZ"/>
        </w:rPr>
        <w:t>ар бир ишчи-ходим ва раҳбариятда сифат учун жавобгарлик принципини рўёбга чиқариш, шахснинг олдига қўйилган мақсад ва вазифаларни амалга оширишда ўз ҳиссасини қўшишга чорлаш;</w:t>
      </w:r>
    </w:p>
    <w:p w:rsidR="002B12DD" w:rsidRPr="00E30F1A" w:rsidRDefault="002B12DD" w:rsidP="002B12D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E30F1A">
        <w:rPr>
          <w:rFonts w:ascii="Times New Roman" w:hAnsi="Times New Roman" w:cs="Times New Roman"/>
          <w:sz w:val="24"/>
          <w:szCs w:val="24"/>
          <w:lang w:val="uz-Cyrl-UZ"/>
        </w:rPr>
        <w:t>алқаро стандартларга мос равишда кўрсатиладиган хизматларнинг сифатини ошира олиш қобилиятига эга бўлган жамоа тузиш;</w:t>
      </w:r>
    </w:p>
    <w:p w:rsidR="002B12DD" w:rsidRPr="009533A2" w:rsidRDefault="002B12DD" w:rsidP="002B12D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30F1A">
        <w:rPr>
          <w:rFonts w:ascii="Times New Roman" w:hAnsi="Times New Roman" w:cs="Times New Roman"/>
          <w:sz w:val="24"/>
          <w:szCs w:val="24"/>
          <w:lang w:val="uz-Cyrl-UZ"/>
        </w:rPr>
        <w:t xml:space="preserve">Ўтказилган тадбирлар натижасига кўра бир йилда бир бор ушбу сифат йўналишидаги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тизимни таҳлил қилиш, </w:t>
      </w:r>
      <w:r w:rsidRPr="00E30F1A">
        <w:rPr>
          <w:rFonts w:ascii="Times New Roman" w:hAnsi="Times New Roman" w:cs="Times New Roman"/>
          <w:sz w:val="24"/>
          <w:szCs w:val="24"/>
          <w:lang w:val="uz-Cyrl-UZ"/>
        </w:rPr>
        <w:t xml:space="preserve">сиёсатни қайта кўриб чиқиш, шунингдек сифат </w:t>
      </w:r>
      <w:bookmarkStart w:id="0" w:name="_GoBack"/>
      <w:bookmarkEnd w:id="0"/>
      <w:r w:rsidRPr="00E30F1A">
        <w:rPr>
          <w:rFonts w:ascii="Times New Roman" w:hAnsi="Times New Roman" w:cs="Times New Roman"/>
          <w:sz w:val="24"/>
          <w:szCs w:val="24"/>
          <w:lang w:val="uz-Cyrl-UZ"/>
        </w:rPr>
        <w:t>тизимни яхшилашда те</w:t>
      </w:r>
      <w:r>
        <w:rPr>
          <w:rFonts w:ascii="Times New Roman" w:hAnsi="Times New Roman" w:cs="Times New Roman"/>
          <w:sz w:val="24"/>
          <w:szCs w:val="24"/>
          <w:lang w:val="uz-Cyrl-UZ"/>
        </w:rPr>
        <w:t>гишли вазифаларни доимо бажариш</w:t>
      </w:r>
      <w:r w:rsidRPr="009533A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00000" w:rsidRPr="002B12DD" w:rsidRDefault="002B12DD">
      <w:pPr>
        <w:rPr>
          <w:lang w:val="uz-Cyrl-UZ"/>
        </w:rPr>
      </w:pPr>
    </w:p>
    <w:sectPr w:rsidR="00000000" w:rsidRPr="002B12DD" w:rsidSect="00BD56F9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B12DD"/>
    <w:rsid w:val="002B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2019-12-18T11:17:00Z</dcterms:created>
  <dcterms:modified xsi:type="dcterms:W3CDTF">2019-12-18T11:17:00Z</dcterms:modified>
</cp:coreProperties>
</file>