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B7D" w:rsidRPr="00053BB0" w:rsidRDefault="00C33B7D" w:rsidP="00C33B7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053BB0">
        <w:rPr>
          <w:rFonts w:ascii="Times New Roman" w:hAnsi="Times New Roman"/>
          <w:b/>
          <w:bCs/>
          <w:sz w:val="26"/>
          <w:szCs w:val="26"/>
          <w:lang w:val="ru-RU"/>
        </w:rPr>
        <w:t>ТЕХНИЧЕСКОЕ ЗАДАНИЕ</w:t>
      </w:r>
    </w:p>
    <w:p w:rsidR="00C33B7D" w:rsidRPr="00053BB0" w:rsidRDefault="00C33B7D" w:rsidP="00C33B7D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0" w:name="bookmark3"/>
      <w:bookmarkStart w:id="1" w:name="_Toc97065995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ОПИСАНИЕ ЗАКУПАЕМОГО ОБОРУДОВАНИЯ.</w:t>
      </w:r>
      <w:bookmarkEnd w:id="0"/>
      <w:bookmarkEnd w:id="1"/>
    </w:p>
    <w:p w:rsidR="00C33B7D" w:rsidRPr="0031439A" w:rsidRDefault="00C33B7D" w:rsidP="00C33B7D">
      <w:pPr>
        <w:widowControl w:val="0"/>
        <w:spacing w:line="233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Эмбоссер для печати международных и локальных карт </w:t>
      </w:r>
      <w:r w:rsidRPr="0031439A">
        <w:rPr>
          <w:rFonts w:ascii="Times New Roman" w:hAnsi="Times New Roman"/>
          <w:color w:val="000000"/>
          <w:sz w:val="22"/>
          <w:lang w:bidi="en-US"/>
        </w:rPr>
        <w:t>Visa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, </w:t>
      </w:r>
      <w:r w:rsidRPr="0031439A">
        <w:rPr>
          <w:rFonts w:ascii="Times New Roman" w:hAnsi="Times New Roman"/>
          <w:color w:val="000000"/>
          <w:sz w:val="22"/>
          <w:lang w:bidi="en-US"/>
        </w:rPr>
        <w:t>Mastercard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 </w:t>
      </w:r>
      <w:r w:rsidRPr="0031439A">
        <w:rPr>
          <w:rFonts w:ascii="Times New Roman" w:hAnsi="Times New Roman"/>
          <w:color w:val="000000"/>
          <w:sz w:val="22"/>
          <w:lang w:bidi="en-US"/>
        </w:rPr>
        <w:t>HUMO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 комплекте с программным обеспечением эмбоссирования.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2" w:name="bookmark5"/>
      <w:bookmarkStart w:id="3" w:name="_Toc97065996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ЦЕЛЬ ПРИОБРЕТЕНИЯ ЗАКУПАЕМОГО ОБОРУДОВАНИЯ.</w:t>
      </w:r>
      <w:bookmarkEnd w:id="2"/>
      <w:bookmarkEnd w:id="3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Для размещения в филиалах банка, в центрах банковских услуг.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4" w:name="bookmark6"/>
      <w:bookmarkStart w:id="5" w:name="bookmark7"/>
      <w:bookmarkStart w:id="6" w:name="_Toc97065997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ОСНОВАНИЕ ДЛЯ РЕАЛИЗАЦИИ ПРОЕКТА, В РАМКАХ КОТОРОГО ПРОИЗВОДИТСЯ ЗАКУПКА.</w:t>
      </w:r>
      <w:bookmarkEnd w:id="4"/>
      <w:bookmarkEnd w:id="5"/>
      <w:bookmarkEnd w:id="6"/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7" w:name="bookmark9"/>
      <w:bookmarkStart w:id="8" w:name="_Toc97065998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СТРАХОВАНИЕ ЗАКУПАЕМОГО ОБОРУДОВАНИЯ.</w:t>
      </w:r>
      <w:bookmarkEnd w:id="7"/>
      <w:bookmarkEnd w:id="8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Согласно условиям поставки.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9" w:name="bookmark13"/>
      <w:bookmarkStart w:id="10" w:name="_Toc97065999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РАЗМЕРАМ, УПАКОВКЕ, ОТГРУЗКЕ ЗАКУПАЕМОГО ОБОРУДОВАНИЯ.</w:t>
      </w:r>
      <w:bookmarkEnd w:id="9"/>
      <w:bookmarkEnd w:id="10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Каждое грузовое место, в котором поставляются эмбоссеры, должно быть маркировано.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Все эмбоссеры должны быть упакованы в упаковку, имеющую защиту от повреждений при перевозке, перегрузке и хранении.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несет ответственность перед Заказчиком за всякого рода порчу эмбоссера вследствие некачественной или ненадлежащей упаковки и/или транспортировки.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несет ответственность за убытки, связанные с повреждением эмбоссера и/или доставки его не по адресу вследствие неполной или неправильной маркировки.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1" w:name="_Toc97066000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НЕОБХОДИМЫЕ ТЕХНИЧЕСКИЕ ХАРАКТЕРИСТИКИ ЗАКУПАЕМОГО ОБОРУДОВАНИЯ.</w:t>
      </w:r>
      <w:bookmarkEnd w:id="11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62"/>
        <w:gridCol w:w="3830"/>
        <w:gridCol w:w="4953"/>
      </w:tblGrid>
      <w:tr w:rsidR="00C33B7D" w:rsidRPr="0031439A" w:rsidTr="007C08AD">
        <w:tc>
          <w:tcPr>
            <w:tcW w:w="301" w:type="pct"/>
            <w:vAlign w:val="center"/>
          </w:tcPr>
          <w:p w:rsidR="00C33B7D" w:rsidRPr="0031439A" w:rsidRDefault="00C33B7D" w:rsidP="007C08A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b/>
                <w:color w:val="000000"/>
                <w:sz w:val="22"/>
                <w:lang w:val="ru-RU"/>
              </w:rPr>
              <w:t>№</w:t>
            </w:r>
          </w:p>
        </w:tc>
        <w:tc>
          <w:tcPr>
            <w:tcW w:w="4699" w:type="pct"/>
            <w:gridSpan w:val="2"/>
            <w:vAlign w:val="center"/>
          </w:tcPr>
          <w:p w:rsidR="00C33B7D" w:rsidRPr="0031439A" w:rsidRDefault="00C33B7D" w:rsidP="007C08A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b/>
                <w:color w:val="000000"/>
                <w:sz w:val="22"/>
                <w:lang w:val="ru-RU"/>
              </w:rPr>
              <w:t xml:space="preserve">Технические характеристики </w:t>
            </w:r>
          </w:p>
        </w:tc>
      </w:tr>
      <w:tr w:rsidR="00C33B7D" w:rsidRPr="001D2208" w:rsidTr="007C08AD">
        <w:tc>
          <w:tcPr>
            <w:tcW w:w="301" w:type="pct"/>
            <w:vAlign w:val="center"/>
          </w:tcPr>
          <w:p w:rsidR="00C33B7D" w:rsidRPr="0031439A" w:rsidRDefault="00C33B7D" w:rsidP="007C08AD">
            <w:pPr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1.</w:t>
            </w:r>
          </w:p>
        </w:tc>
        <w:tc>
          <w:tcPr>
            <w:tcW w:w="2049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Производительность</w:t>
            </w:r>
          </w:p>
        </w:tc>
        <w:tc>
          <w:tcPr>
            <w:tcW w:w="2650" w:type="pct"/>
          </w:tcPr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Не менее 50 карт в час в зависимости от формата и режима эмбоссирования/печати.</w:t>
            </w:r>
          </w:p>
        </w:tc>
      </w:tr>
      <w:tr w:rsidR="00C33B7D" w:rsidRPr="001D2208" w:rsidTr="007C08AD">
        <w:trPr>
          <w:trHeight w:val="2541"/>
        </w:trPr>
        <w:tc>
          <w:tcPr>
            <w:tcW w:w="301" w:type="pct"/>
            <w:vAlign w:val="center"/>
          </w:tcPr>
          <w:p w:rsidR="00C33B7D" w:rsidRPr="0031439A" w:rsidRDefault="00C33B7D" w:rsidP="007C08AD">
            <w:pPr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2.</w:t>
            </w:r>
          </w:p>
        </w:tc>
        <w:tc>
          <w:tcPr>
            <w:tcW w:w="2049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Комплектация и функциональные возможности</w:t>
            </w:r>
          </w:p>
        </w:tc>
        <w:tc>
          <w:tcPr>
            <w:tcW w:w="2650" w:type="pct"/>
          </w:tcPr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Возможность: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записи магнитной полосы;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персонализации чипа;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эмбоссирования лицевой стороны карты;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индент печати и раскраски рельефа выдавленных символов;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выгрузка и отбраковка карт;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закрытия эмбоссера по паролю либо ключом;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возможность монохромной/цветной печати.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Наличие: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дисплея и панели управления;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персонализации (чтения\записи) контактного/бесконтактного чипа;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записи на три дорожки Hi-Co/LoCo магнитной полосы;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тиснения/индент печати;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раскраски рельефа тиснения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полноцветной/монохромной печати;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кодирования магнитной полосы;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модуля кодирования EMV чипа через контактный и бесконтактный интерфейс;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шрифтов и/или литер, используемых при печати международных и локальных пластиковых карт;</w:t>
            </w:r>
          </w:p>
          <w:p w:rsidR="00C33B7D" w:rsidRPr="0031439A" w:rsidRDefault="00C33B7D" w:rsidP="007C08AD">
            <w:pPr>
              <w:ind w:firstLine="17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- встроенного коммуникационного разъема (Ethernet и USB).</w:t>
            </w:r>
          </w:p>
        </w:tc>
      </w:tr>
      <w:tr w:rsidR="00C33B7D" w:rsidRPr="001D2208" w:rsidTr="007C08AD">
        <w:tc>
          <w:tcPr>
            <w:tcW w:w="301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lastRenderedPageBreak/>
              <w:t>3.</w:t>
            </w:r>
          </w:p>
        </w:tc>
        <w:tc>
          <w:tcPr>
            <w:tcW w:w="2049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Технические и функциональные характеристики</w:t>
            </w:r>
          </w:p>
        </w:tc>
        <w:tc>
          <w:tcPr>
            <w:tcW w:w="2650" w:type="pct"/>
            <w:vAlign w:val="center"/>
          </w:tcPr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Автоматическая подача карт.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Входной лоток емкостью не менее, чем на 100 карт;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Выходной лоток емкостью не менее, чем на 10 карт;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Лоток для отбракованных карт емкостью не менее 10 карт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Питание от электросети 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 w:bidi="en-US"/>
              </w:rPr>
              <w:t>220</w:t>
            </w:r>
            <w:r w:rsidRPr="0031439A">
              <w:rPr>
                <w:rFonts w:ascii="Times New Roman" w:hAnsi="Times New Roman"/>
                <w:color w:val="000000"/>
                <w:sz w:val="22"/>
                <w:lang w:bidi="en-US"/>
              </w:rPr>
              <w:t>V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 w:bidi="en-US"/>
              </w:rPr>
              <w:t xml:space="preserve">, 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50/60 </w:t>
            </w:r>
            <w:r w:rsidRPr="0031439A">
              <w:rPr>
                <w:rFonts w:ascii="Times New Roman" w:hAnsi="Times New Roman"/>
                <w:color w:val="000000"/>
                <w:sz w:val="22"/>
                <w:lang w:bidi="en-US"/>
              </w:rPr>
              <w:t>Hz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 w:bidi="en-US"/>
              </w:rPr>
              <w:t>.</w:t>
            </w:r>
          </w:p>
        </w:tc>
      </w:tr>
      <w:tr w:rsidR="00C33B7D" w:rsidRPr="001D2208" w:rsidTr="007C08AD">
        <w:tc>
          <w:tcPr>
            <w:tcW w:w="301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4.</w:t>
            </w:r>
          </w:p>
        </w:tc>
        <w:tc>
          <w:tcPr>
            <w:tcW w:w="2049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Безопасность</w:t>
            </w:r>
          </w:p>
        </w:tc>
        <w:tc>
          <w:tcPr>
            <w:tcW w:w="2650" w:type="pct"/>
          </w:tcPr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Возможность закрытия эмбоссера по паролю либо ключом.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Поддержка работы с аппаратными модулями шифрования HSM.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Соответствие требованиям безопасности PCI DSS.</w:t>
            </w:r>
          </w:p>
        </w:tc>
      </w:tr>
      <w:tr w:rsidR="00C33B7D" w:rsidRPr="001D2208" w:rsidTr="007C08AD">
        <w:tc>
          <w:tcPr>
            <w:tcW w:w="301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5.</w:t>
            </w:r>
          </w:p>
        </w:tc>
        <w:tc>
          <w:tcPr>
            <w:tcW w:w="2049" w:type="pct"/>
            <w:vAlign w:val="center"/>
          </w:tcPr>
          <w:p w:rsidR="00C33B7D" w:rsidRPr="0031439A" w:rsidRDefault="00C33B7D" w:rsidP="007C08AD">
            <w:pPr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Требования к программному обеспечению для выпуска и эмбоссирования карт</w:t>
            </w:r>
          </w:p>
        </w:tc>
        <w:tc>
          <w:tcPr>
            <w:tcW w:w="2650" w:type="pct"/>
          </w:tcPr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Программное обеспечение, поставляемое с эмбоссерами, должно использовать решения, базирующиеся на открытых стандартах, предусматривающих возможность сопряжения и совместной работы оборудования и программного обеспечения разных производителей. 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Предлагаемый эмбоссер должен корректно взаимодействовать с программным обеспечением, предназначенным для выпуска карт </w:t>
            </w:r>
            <w:r w:rsidRPr="0031439A">
              <w:rPr>
                <w:rFonts w:ascii="Times New Roman" w:hAnsi="Times New Roman"/>
                <w:bCs/>
                <w:color w:val="000000"/>
                <w:sz w:val="22"/>
                <w:lang w:val="ru-RU" w:bidi="en-US"/>
              </w:rPr>
              <w:t xml:space="preserve">Visa, Mastercard </w:t>
            </w:r>
            <w:r w:rsidRPr="0031439A">
              <w:rPr>
                <w:rFonts w:ascii="Times New Roman" w:hAnsi="Times New Roman"/>
                <w:bCs/>
                <w:color w:val="000000"/>
                <w:sz w:val="22"/>
                <w:lang w:val="ru-RU"/>
              </w:rPr>
              <w:t xml:space="preserve">и </w:t>
            </w:r>
            <w:r w:rsidRPr="0031439A">
              <w:rPr>
                <w:rFonts w:ascii="Times New Roman" w:hAnsi="Times New Roman"/>
                <w:bCs/>
                <w:color w:val="000000"/>
                <w:sz w:val="22"/>
                <w:lang w:val="ru-RU" w:bidi="en-US"/>
              </w:rPr>
              <w:t>HUMO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, которое уже используется в банке, и не требовать дополнительных затрат от банка на доработку и модификацию ПО в банке. </w:t>
            </w:r>
          </w:p>
          <w:p w:rsidR="00C33B7D" w:rsidRPr="0031439A" w:rsidRDefault="00C33B7D" w:rsidP="007C08AD">
            <w:pPr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    На предлагаемых эмбоссерах должна быть обеспечена удаленная распределенная персонализация карт HUMO и карт международных платежных систем в филиалах банка. </w:t>
            </w:r>
          </w:p>
          <w:p w:rsidR="00C33B7D" w:rsidRPr="0031439A" w:rsidRDefault="00C33B7D" w:rsidP="007C08AD">
            <w:pPr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   При этом </w:t>
            </w:r>
            <w:r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поставляемые эмбоссеры должны выпускать и проперсонализировать карты в полном соответствии с требованиями платежной системы </w:t>
            </w: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HUMO и международных платежных систем, а также требованиям PCI DSS.</w:t>
            </w:r>
          </w:p>
          <w:p w:rsidR="00C33B7D" w:rsidRPr="0031439A" w:rsidRDefault="00C33B7D" w:rsidP="007C08AD">
            <w:pPr>
              <w:ind w:firstLine="269"/>
              <w:jc w:val="both"/>
              <w:rPr>
                <w:rFonts w:ascii="Times New Roman" w:hAnsi="Times New Roman"/>
                <w:color w:val="000000"/>
                <w:sz w:val="22"/>
                <w:lang w:val="ru-RU"/>
              </w:rPr>
            </w:pPr>
            <w:r w:rsidRPr="0031439A">
              <w:rPr>
                <w:rFonts w:ascii="Times New Roman" w:hAnsi="Times New Roman"/>
                <w:color w:val="000000"/>
                <w:sz w:val="22"/>
                <w:lang w:val="ru-RU"/>
              </w:rPr>
              <w:t>Все лицензии на программное обеспечение должны быть бессрочными.</w:t>
            </w:r>
          </w:p>
        </w:tc>
      </w:tr>
    </w:tbl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2"/>
          <w:lang w:val="ru-RU" w:eastAsia="ru-RU" w:bidi="ru-RU"/>
        </w:rPr>
      </w:pP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2" w:name="_Toc97066001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НОВИЗНЕ.</w:t>
      </w:r>
      <w:bookmarkEnd w:id="12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Закупаемые эмбоссеры должны быть новыми, ранее не использованными, которые не были на ремонте, в том числе которые не были восстановлены, у которых не была осуществлена замена составных частей и не снятыми с производства. Не допускается поставка выставочных образцов, оборудования, собранного из восстановленных узлов и агрегатов, а также снятых с производства. Оборудование должно быть поставлено комплектно и обеспечивать конструктивную и функциональную совместимость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3" w:name="bookmark15"/>
      <w:bookmarkStart w:id="14" w:name="_Toc97066002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ПО КОМПЛЕКТАЦИИ.</w:t>
      </w:r>
      <w:bookmarkEnd w:id="13"/>
      <w:bookmarkEnd w:id="14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предоставить полностью укомплектованные работоспособные эмбоссеры при необходимости, предложить дополнительные модули, продукты и услуги, по каким-либо причинам не учтенные Заказчиком, но обязательные для обеспечения полноты использования запрашиваемой конфигурации.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Комплектация должна быть обеспечена в соответствии с техническими характеристиками, указанными в пункте 5 настоящего Технического задания.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993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5" w:name="bookmark17"/>
      <w:bookmarkStart w:id="16" w:name="_Toc97066003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lastRenderedPageBreak/>
        <w:t>ТРЕБОВАНИЯ К ОБСЛУЖИВАНИЮ И ЭКСПЛУАТАЦИИ ЗАКУПАЕМОГО ОБОРУДОВАНИЯ.</w:t>
      </w:r>
      <w:bookmarkEnd w:id="15"/>
      <w:bookmarkEnd w:id="16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Эмбоссеры должны быть готовы к эксплуатации после проведения пуско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softHyphen/>
        <w:t>наладочных работ.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Обязательное наличие сервис-центра у Исполнителя, авторизованного производителем, по обслуживанию оборудования на территории Республики Узбекистан с высококвалифицированными и сертифицированными специалистами.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7" w:name="bookmark19"/>
      <w:bookmarkStart w:id="18" w:name="_Toc97066004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РАСХОДАМ НА ЭКСПЛУАТАЦИЮ ЗАКУПАЕМОГО ОБОРУДОВАНИЯ.</w:t>
      </w:r>
      <w:bookmarkEnd w:id="17"/>
      <w:bookmarkEnd w:id="18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Все транспортные и другие расходы, связанные с заменой дефектного эмбоссера и его допоставкой, производятся за счет Исполнителя.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При возврате эмбоссера по рекламации Заказчика и допоставке продукции Исполнителем все расходы несет Исполнитель.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предоставить информацию о расходах на эксплуатацию.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Эмбоссеры не должны требовать дополнительных расходов при эксплуатации, кроме расходных материалов для эмбоссирования и индент печати, средств ухода за техникой, расходов электроэнергии и необходимого ремонта.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19" w:name="bookmark20"/>
      <w:bookmarkStart w:id="20" w:name="bookmark21"/>
      <w:bookmarkStart w:id="21" w:name="_Toc97066005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ТРЕБОВАНИЕ НА СООТВЕТСТВИЕ ЗАКУПАЕМОГО ОБОРУДОВАНИЯ НОРМАТИВНЫМ ДОКУМЕНТАМ В ОБЛАСТИ ТЕХНИЧЕСКОГО РЕГУЛИРОВАНИЯ.</w:t>
      </w:r>
      <w:bookmarkEnd w:id="19"/>
      <w:bookmarkEnd w:id="20"/>
      <w:bookmarkEnd w:id="21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Предлагаемые к поставке эмбоссеры должны соответствовать стандартам, указанным в технических условиях, а при их отсутствии - признанному стандарту, приемлемому для страны происхождения закупаемого оборудования. Подобные стандарты должны быть самыми новейшими из выпускаемых соответствующими учреждениями.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Эмбоссеры должны соответствовать международным стандартам и иметь соответствующие сертификаты.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22" w:name="bookmark22"/>
      <w:bookmarkStart w:id="23" w:name="bookmark23"/>
      <w:bookmarkStart w:id="24" w:name="_Toc97066006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ПО КОЛИЧЕСТВУ, ПЕРИОДИЧНОСТИ, СРОКУ И МЕСТУ ПОСТАВОК.</w:t>
      </w:r>
      <w:bookmarkEnd w:id="22"/>
      <w:bookmarkEnd w:id="23"/>
      <w:bookmarkEnd w:id="24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Количество предполагаемых к поставке эмбоссеров -  комплектов. 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Срок поставки - не более </w:t>
      </w:r>
      <w:r w:rsidR="001D2208">
        <w:rPr>
          <w:rFonts w:ascii="Times New Roman" w:hAnsi="Times New Roman"/>
          <w:color w:val="000000"/>
          <w:sz w:val="22"/>
          <w:lang w:val="ru-RU" w:eastAsia="ru-RU" w:bidi="ru-RU"/>
        </w:rPr>
        <w:t>4</w:t>
      </w:r>
      <w:r w:rsidR="00C95BFA">
        <w:rPr>
          <w:rFonts w:ascii="Times New Roman" w:hAnsi="Times New Roman"/>
          <w:color w:val="000000"/>
          <w:sz w:val="22"/>
          <w:lang w:val="ru-RU" w:eastAsia="ru-RU" w:bidi="ru-RU"/>
        </w:rPr>
        <w:t>0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 рабочих дней с даты подписания контракта на поставку.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Место поставки:</w:t>
      </w:r>
    </w:p>
    <w:p w:rsidR="00C33B7D" w:rsidRDefault="00C33B7D" w:rsidP="00C33B7D">
      <w:pPr>
        <w:widowControl w:val="0"/>
        <w:tabs>
          <w:tab w:val="left" w:pos="819"/>
        </w:tabs>
        <w:spacing w:line="276" w:lineRule="auto"/>
        <w:ind w:left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- для нерезидентов </w:t>
      </w:r>
      <w:r>
        <w:rPr>
          <w:rFonts w:ascii="Times New Roman" w:hAnsi="Times New Roman"/>
          <w:color w:val="000000"/>
          <w:sz w:val="22"/>
          <w:lang w:val="ru-RU" w:eastAsia="ru-RU" w:bidi="ru-RU"/>
        </w:rPr>
        <w:t>–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 </w:t>
      </w:r>
    </w:p>
    <w:p w:rsidR="00C33B7D" w:rsidRPr="0031439A" w:rsidRDefault="00C33B7D" w:rsidP="00C33B7D">
      <w:pPr>
        <w:widowControl w:val="0"/>
        <w:tabs>
          <w:tab w:val="left" w:pos="819"/>
        </w:tabs>
        <w:spacing w:line="276" w:lineRule="auto"/>
        <w:ind w:left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 для резидентов - до склада заказчика в г. Ташкент с учетом налогов и таможенных платежей.</w:t>
      </w:r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Возможна отгрузка частями.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25" w:name="bookmark24"/>
      <w:bookmarkStart w:id="26" w:name="bookmark25"/>
      <w:bookmarkStart w:id="27" w:name="_Toc97066007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ШЕФМОНТАЖУ.</w:t>
      </w:r>
      <w:bookmarkEnd w:id="25"/>
      <w:bookmarkEnd w:id="26"/>
      <w:bookmarkEnd w:id="27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предоставить образец предполагаемых к поставке эмбоссера в количестве 1 комп., для тестирования на совместимость их работы с банковской системой.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28" w:name="bookmark27"/>
      <w:bookmarkStart w:id="29" w:name="_Toc97066008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ОБУЧЕНИЮ ПЕРСОНАЛА.</w:t>
      </w:r>
      <w:bookmarkEnd w:id="28"/>
      <w:bookmarkEnd w:id="29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предоставить специалиста для обучения сотрудников банка по работе с поставляемой моделью эмбоссера.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30" w:name="bookmark28"/>
      <w:bookmarkStart w:id="31" w:name="bookmark29"/>
      <w:bookmarkStart w:id="32" w:name="_Toc97066009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ПЕРЕДАВАЕМЫМ ВМЕСТЕ С ЗАКУПАЕМЫМ ОБОРУДОВАНИЕМ ДОКУМЕНТАЦИЯМ.</w:t>
      </w:r>
      <w:bookmarkEnd w:id="30"/>
      <w:bookmarkEnd w:id="31"/>
      <w:bookmarkEnd w:id="32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Вместе с отгруженными эмбоссерами, Исполнитель обязуется направить Заказчику нижеперечисленные документы:</w:t>
      </w:r>
    </w:p>
    <w:p w:rsidR="00C33B7D" w:rsidRPr="0031439A" w:rsidRDefault="00C33B7D" w:rsidP="00C33B7D">
      <w:pPr>
        <w:widowControl w:val="0"/>
        <w:spacing w:line="288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t xml:space="preserve">•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счёт-фактура (инвойс) на сумму общей стоимости отгруженного оборудования на имя Заказчика;</w:t>
      </w:r>
    </w:p>
    <w:p w:rsidR="00C33B7D" w:rsidRPr="0031439A" w:rsidRDefault="00C33B7D" w:rsidP="00C33B7D">
      <w:pPr>
        <w:widowControl w:val="0"/>
        <w:spacing w:line="264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lastRenderedPageBreak/>
        <w:t xml:space="preserve">•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транспортная накладная, выписанная на имя Заказчика;</w:t>
      </w:r>
    </w:p>
    <w:p w:rsidR="00C33B7D" w:rsidRPr="0031439A" w:rsidRDefault="00C33B7D" w:rsidP="00C33B7D">
      <w:pPr>
        <w:widowControl w:val="0"/>
        <w:spacing w:line="264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t xml:space="preserve">•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упаковочные листы;</w:t>
      </w:r>
    </w:p>
    <w:p w:rsidR="00C33B7D" w:rsidRPr="0031439A" w:rsidRDefault="00C33B7D" w:rsidP="00C33B7D">
      <w:pPr>
        <w:widowControl w:val="0"/>
        <w:spacing w:line="264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t xml:space="preserve">•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сертификат происхождения;</w:t>
      </w:r>
    </w:p>
    <w:p w:rsidR="00C33B7D" w:rsidRPr="0031439A" w:rsidRDefault="00C33B7D" w:rsidP="00C33B7D">
      <w:pPr>
        <w:widowControl w:val="0"/>
        <w:spacing w:line="264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t xml:space="preserve">•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сертификат соответствия и качества, выданный производителем эмбоссера;</w:t>
      </w:r>
    </w:p>
    <w:p w:rsidR="00C33B7D" w:rsidRPr="0031439A" w:rsidRDefault="00C33B7D" w:rsidP="00C33B7D">
      <w:pPr>
        <w:widowControl w:val="0"/>
        <w:spacing w:line="288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Кроме того, вместе с эмбоссерами должна быть передана документация по эксплуатации поставляемых эмбоссеров.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33" w:name="bookmark30"/>
      <w:bookmarkStart w:id="34" w:name="bookmark31"/>
      <w:bookmarkStart w:id="35" w:name="_Toc97066010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ПО ГАРАНТИЙНОМУ И ПОСЛЕГАРАНТИЙНОМУ ОБСЛУЖИВАНИЮ.</w:t>
      </w:r>
      <w:bookmarkEnd w:id="33"/>
      <w:bookmarkEnd w:id="34"/>
      <w:bookmarkEnd w:id="35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Гарантийный срок на оборудование (включая все комплектующие) должен составлять не менее 12 месяцев со дня подписания акта сдачи-приема оборудования Заказчику.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Если для какого-либо оборудования стандартные гарантийные сроки, установленные производителем данного оборудования, превышает запрашиваемый гарантийный срок, то гарантийный срок на данное оборудование устанавливается продолжительностью не менее гарантийного срока, установленного производителем данного оборудования.</w:t>
      </w:r>
    </w:p>
    <w:p w:rsidR="00C33B7D" w:rsidRPr="0031439A" w:rsidRDefault="00C33B7D" w:rsidP="00C33B7D">
      <w:pPr>
        <w:widowControl w:val="0"/>
        <w:spacing w:line="264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eastAsia="Arial" w:hAnsi="Times New Roman"/>
          <w:color w:val="000000"/>
          <w:sz w:val="22"/>
          <w:lang w:val="ru-RU" w:eastAsia="ru-RU" w:bidi="ru-RU"/>
        </w:rPr>
        <w:t xml:space="preserve">• </w:t>
      </w:r>
      <w:r w:rsidRPr="0031439A">
        <w:rPr>
          <w:rFonts w:ascii="Times New Roman" w:hAnsi="Times New Roman"/>
          <w:b/>
          <w:bCs/>
          <w:i/>
          <w:iCs/>
          <w:color w:val="000000"/>
          <w:sz w:val="22"/>
          <w:lang w:val="ru-RU" w:eastAsia="ru-RU" w:bidi="ru-RU"/>
        </w:rPr>
        <w:t>Условия рекламации эмбоссеров: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 случае поставки дефектной продукции Заказчик имеет право выставить Исполнителю письменные рекламации в течение 60 (шестьдесят) календарных дней с даты отгрузки эмбоссеров. Рекламации могут быть направлены Исполнителю нарочно, по почте, телеграфу или по факсу. В рекламации указывается следующая информация: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 наименование продукции;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 количество дефектных единиц;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 подробное описание характера дефекта.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рассмотреть рекламации Заказчика и письменно сообщить об их принятии или отклонении в течение 10 (десять) календарных дней с даты получения рекламации.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Рекламация может быть выставлена в случае несоответствия стандартов или непригодности эмбоссера для использования по прямому назначению. В случае признания рекламации, Исполнитель обязуется произвести замену дефектной продукции в течение 60 (шестьдесят) рабочих дней с даты оформления Акта приема-передачи дефектных эмбоссеров.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При этом, 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Исполнитель гарантирует бесплатную накладку (ремонт) или восстановление оборудования или программного обеспечения в течение 15 дней с даты уведомления.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Исполнитель должен обеспечить консультирование по вопросам поддержки поставленного оборудования в работоспособном состоянии в течение всего гарантийного срока. 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Наличие гарантийного официального сервис-центра в Узбекистане. 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Время реакции на отказ эмбоссера или его компонента с момента получения заявки сервисным центром, не должно превышать 24 часа.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В особых случаях, представители сервис-центра или авторизованного сервис- партнера должны быть готовы к выездам на места установки приобретаемого эмбоссера.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При появлении новых релизов, исправлений </w:t>
      </w:r>
      <w:r w:rsidRPr="0031439A">
        <w:rPr>
          <w:rFonts w:ascii="Times New Roman" w:hAnsi="Times New Roman"/>
          <w:color w:val="000000"/>
          <w:sz w:val="22"/>
          <w:lang w:bidi="en-US"/>
        </w:rPr>
        <w:t>bug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>-</w:t>
      </w:r>
      <w:r w:rsidRPr="0031439A">
        <w:rPr>
          <w:rFonts w:ascii="Times New Roman" w:hAnsi="Times New Roman"/>
          <w:color w:val="000000"/>
          <w:sz w:val="22"/>
          <w:lang w:bidi="en-US"/>
        </w:rPr>
        <w:t>fix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,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обновлений </w:t>
      </w:r>
      <w:r w:rsidRPr="0031439A">
        <w:rPr>
          <w:rFonts w:ascii="Times New Roman" w:hAnsi="Times New Roman"/>
          <w:color w:val="000000"/>
          <w:sz w:val="22"/>
          <w:lang w:bidi="en-US"/>
        </w:rPr>
        <w:t>update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 </w:t>
      </w:r>
      <w:r w:rsidRPr="0031439A">
        <w:rPr>
          <w:rFonts w:ascii="Times New Roman" w:hAnsi="Times New Roman"/>
          <w:color w:val="000000"/>
          <w:sz w:val="22"/>
          <w:lang w:bidi="en-US"/>
        </w:rPr>
        <w:t>service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softHyphen/>
      </w:r>
      <w:r w:rsidRPr="0031439A">
        <w:rPr>
          <w:rFonts w:ascii="Times New Roman" w:hAnsi="Times New Roman"/>
          <w:color w:val="000000"/>
          <w:sz w:val="22"/>
          <w:lang w:bidi="en-US"/>
        </w:rPr>
        <w:t>pack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программного обеспечения, входящего в состав эмбоссера, Заказчику должна быть предоставлена возможность доступа к сайту производителя для их оперативного скачивания и получать информацию об этом по электронной почте.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36" w:name="_Toc97066011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НАДЕЖНОСТИ.</w:t>
      </w:r>
      <w:bookmarkEnd w:id="36"/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Исполнитель гарантирует наступление даты окончания поддержки </w:t>
      </w:r>
      <w:r w:rsidRPr="0031439A">
        <w:rPr>
          <w:rFonts w:ascii="Times New Roman" w:hAnsi="Times New Roman"/>
          <w:color w:val="000000"/>
          <w:sz w:val="22"/>
          <w:lang w:bidi="en-US"/>
        </w:rPr>
        <w:t>EOS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(</w:t>
      </w:r>
      <w:r w:rsidRPr="0031439A">
        <w:rPr>
          <w:rFonts w:ascii="Times New Roman" w:hAnsi="Times New Roman"/>
          <w:color w:val="000000"/>
          <w:sz w:val="22"/>
          <w:lang w:bidi="en-US"/>
        </w:rPr>
        <w:t>end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of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support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>/</w:t>
      </w:r>
      <w:r w:rsidRPr="0031439A">
        <w:rPr>
          <w:rFonts w:ascii="Times New Roman" w:hAnsi="Times New Roman"/>
          <w:color w:val="000000"/>
          <w:sz w:val="22"/>
          <w:lang w:bidi="en-US"/>
        </w:rPr>
        <w:t>service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)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аппаратного обеспечения (всех комплектующих) не ранее чем через 5 лет с момента заключения договора поставки аппаратного обеспечения.</w:t>
      </w:r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Исполнитель гарантирует наступление даты окончания приема заказов, производства и поставки отдельных плат и модулей ЕОМ 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>(</w:t>
      </w:r>
      <w:r w:rsidRPr="0031439A">
        <w:rPr>
          <w:rFonts w:ascii="Times New Roman" w:hAnsi="Times New Roman"/>
          <w:color w:val="000000"/>
          <w:sz w:val="22"/>
          <w:lang w:bidi="en-US"/>
        </w:rPr>
        <w:t>end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of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market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for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bidi="en-US"/>
        </w:rPr>
        <w:t>expansion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)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не ранее чем через 5 лет с момента заключения договора поставки аппаратного обеспечения.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37" w:name="bookmark33"/>
      <w:bookmarkStart w:id="38" w:name="_Toc97066012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lastRenderedPageBreak/>
        <w:t>ТРЕБОВАНИЯ К ГОДУ ПРОИЗВОДСТВА/ВЫПУСКУ ЗАКУПАЕМОГО ОБОРУДОВАНИЯ.</w:t>
      </w:r>
      <w:bookmarkEnd w:id="37"/>
      <w:bookmarkEnd w:id="38"/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Эмбоссеры должны быть произведены не ранее </w:t>
      </w:r>
      <w:r>
        <w:rPr>
          <w:rFonts w:ascii="Times New Roman" w:hAnsi="Times New Roman"/>
          <w:color w:val="000000"/>
          <w:sz w:val="22"/>
          <w:lang w:val="ru-RU" w:eastAsia="ru-RU" w:bidi="ru-RU"/>
        </w:rPr>
        <w:t>____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 года.</w:t>
      </w: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39" w:name="_Toc97066013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ТРЕБОВАНИЯ К ИСПОЛНИТЕЛЮ.</w:t>
      </w:r>
      <w:bookmarkEnd w:id="39"/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Исполнитель должен предоставить информацию по:</w:t>
      </w:r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- параметрам жизненного цикла закупаемого оборудования с указанием дат окончания поддержки оборудования, окончания приема заказов на поставку ЗИП и комплектующих; </w:t>
      </w:r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 методам достижения минимального уровня ТСО (Total Cost of Owership) за счет предлагаемого оборудования, технологического решения, функционала и уникальных решений производителя сроком на не менее 5 лет;</w:t>
      </w:r>
    </w:p>
    <w:p w:rsidR="00C33B7D" w:rsidRPr="0031439A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- наличию необходимых статусов авторизации и партнерств у производителей оборудования для выполнения в полном объеме требуемых работ и предоставлению оригинала документа или его копии, выданного производителем оборудования MAF (Manufacturer’s Authorization Form) на поставку оригинального оборудования с подтверждением гарантийных обязательств на поставляемое оборудование; </w:t>
      </w:r>
    </w:p>
    <w:p w:rsidR="00C33B7D" w:rsidRDefault="00C33B7D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- предоставлению официального письма от сервисного центра с подтверждением того, что ввезенное Исполнителем оборудование будет покрыто сервисным обслуживанием</w:t>
      </w:r>
      <w:r w:rsidR="00C95BFA">
        <w:rPr>
          <w:rFonts w:ascii="Times New Roman" w:hAnsi="Times New Roman"/>
          <w:color w:val="000000"/>
          <w:sz w:val="22"/>
          <w:lang w:val="ru-RU" w:eastAsia="ru-RU" w:bidi="ru-RU"/>
        </w:rPr>
        <w:t>.</w:t>
      </w:r>
    </w:p>
    <w:p w:rsidR="00C95BFA" w:rsidRPr="0031439A" w:rsidRDefault="00C95BFA" w:rsidP="00C95BFA">
      <w:pPr>
        <w:widowControl w:val="0"/>
        <w:spacing w:line="233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>
        <w:rPr>
          <w:rFonts w:ascii="Times New Roman" w:hAnsi="Times New Roman"/>
          <w:color w:val="000000"/>
          <w:sz w:val="22"/>
          <w:lang w:val="ru-RU" w:eastAsia="ru-RU" w:bidi="ru-RU"/>
        </w:rPr>
        <w:t xml:space="preserve">-настроить и подготовить оборудование для работы с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международных и локальных карт </w:t>
      </w:r>
      <w:r w:rsidRPr="0031439A">
        <w:rPr>
          <w:rFonts w:ascii="Times New Roman" w:hAnsi="Times New Roman"/>
          <w:color w:val="000000"/>
          <w:sz w:val="22"/>
          <w:lang w:bidi="en-US"/>
        </w:rPr>
        <w:t>Visa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, </w:t>
      </w:r>
      <w:r w:rsidRPr="0031439A">
        <w:rPr>
          <w:rFonts w:ascii="Times New Roman" w:hAnsi="Times New Roman"/>
          <w:color w:val="000000"/>
          <w:sz w:val="22"/>
          <w:lang w:bidi="en-US"/>
        </w:rPr>
        <w:t>Mastercard</w:t>
      </w:r>
      <w:r w:rsidRPr="0031439A">
        <w:rPr>
          <w:rFonts w:ascii="Times New Roman" w:hAnsi="Times New Roman"/>
          <w:color w:val="000000"/>
          <w:sz w:val="22"/>
          <w:lang w:val="ru-RU" w:bidi="en-US"/>
        </w:rPr>
        <w:t xml:space="preserve"> 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и </w:t>
      </w:r>
      <w:r w:rsidRPr="0031439A">
        <w:rPr>
          <w:rFonts w:ascii="Times New Roman" w:hAnsi="Times New Roman"/>
          <w:color w:val="000000"/>
          <w:sz w:val="22"/>
          <w:lang w:bidi="en-US"/>
        </w:rPr>
        <w:t>HUMO</w:t>
      </w: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.</w:t>
      </w:r>
    </w:p>
    <w:p w:rsidR="00C95BFA" w:rsidRPr="0031439A" w:rsidRDefault="00C95BFA" w:rsidP="00C33B7D">
      <w:pPr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</w:p>
    <w:p w:rsidR="00C33B7D" w:rsidRPr="0031439A" w:rsidRDefault="00C33B7D" w:rsidP="00C33B7D">
      <w:pPr>
        <w:keepNext/>
        <w:keepLines/>
        <w:widowControl w:val="0"/>
        <w:numPr>
          <w:ilvl w:val="0"/>
          <w:numId w:val="1"/>
        </w:numPr>
        <w:tabs>
          <w:tab w:val="left" w:pos="1134"/>
        </w:tabs>
        <w:spacing w:before="120" w:after="120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</w:pPr>
      <w:bookmarkStart w:id="40" w:name="_Toc97066014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>ПОРЯДОК СДАЧИ И ПРИЕМА ВЫПОЛНЕННЫХ РАБОТ</w:t>
      </w:r>
      <w:bookmarkEnd w:id="40"/>
      <w:r w:rsidRPr="0031439A">
        <w:rPr>
          <w:rFonts w:ascii="Times New Roman" w:hAnsi="Times New Roman"/>
          <w:b/>
          <w:bCs/>
          <w:color w:val="000000"/>
          <w:sz w:val="22"/>
          <w:lang w:val="ru-RU" w:eastAsia="ru-RU" w:bidi="ru-RU"/>
        </w:rPr>
        <w:tab/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Приемка поставленного оборудования осуществляется путем контроля целостности и комплектности поставляемого оборудования, а также соответствия требованиям настоящего технического задания. 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 xml:space="preserve">С целью принятия результатов работ (услуг), Заказчик имеет право создать в установленном порядке Приемочную комиссию. Совместно с предъявлением Приемочной комиссией оборудования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</w:t>
      </w:r>
    </w:p>
    <w:p w:rsidR="00C33B7D" w:rsidRPr="0031439A" w:rsidRDefault="00C33B7D" w:rsidP="00C33B7D">
      <w:pPr>
        <w:widowControl w:val="0"/>
        <w:ind w:firstLine="709"/>
        <w:jc w:val="both"/>
        <w:rPr>
          <w:rFonts w:ascii="Times New Roman" w:hAnsi="Times New Roman"/>
          <w:color w:val="000000"/>
          <w:sz w:val="22"/>
          <w:lang w:val="ru-RU" w:eastAsia="ru-RU" w:bidi="ru-RU"/>
        </w:rPr>
      </w:pPr>
      <w:r w:rsidRPr="0031439A">
        <w:rPr>
          <w:rFonts w:ascii="Times New Roman" w:hAnsi="Times New Roman"/>
          <w:color w:val="000000"/>
          <w:sz w:val="22"/>
          <w:lang w:val="ru-RU" w:eastAsia="ru-RU" w:bidi="ru-RU"/>
        </w:rPr>
        <w:t>По итогам сдачи приема выполненных работ подписывается двухсторонний акт. Статус и состав приемочной комиссии определяется Заказчиком.</w:t>
      </w:r>
    </w:p>
    <w:p w:rsidR="00C33B7D" w:rsidRDefault="00C33B7D" w:rsidP="00C33B7D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84D9C" w:rsidRDefault="00C84D9C"/>
    <w:sectPr w:rsidR="00C8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083"/>
    <w:multiLevelType w:val="multilevel"/>
    <w:tmpl w:val="CF22F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69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7D"/>
    <w:rsid w:val="001D2208"/>
    <w:rsid w:val="00C33B7D"/>
    <w:rsid w:val="00C84D9C"/>
    <w:rsid w:val="00C9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D2FA"/>
  <w15:chartTrackingRefBased/>
  <w15:docId w15:val="{E6837519-6261-4859-BD4B-6FC11DC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7D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33B7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1902</Words>
  <Characters>10848</Characters>
  <Application>Microsoft Office Word</Application>
  <DocSecurity>0</DocSecurity>
  <Lines>90</Lines>
  <Paragraphs>25</Paragraphs>
  <ScaleCrop>false</ScaleCrop>
  <Company>diakov.net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Abbos Polatov</cp:lastModifiedBy>
  <cp:revision>4</cp:revision>
  <dcterms:created xsi:type="dcterms:W3CDTF">2023-04-16T15:33:00Z</dcterms:created>
  <dcterms:modified xsi:type="dcterms:W3CDTF">2023-05-15T06:37:00Z</dcterms:modified>
</cp:coreProperties>
</file>