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45" w:rsidRPr="00D62A84" w:rsidRDefault="0094598E" w:rsidP="00266996">
      <w:pPr>
        <w:spacing w:line="240" w:lineRule="auto"/>
        <w:jc w:val="center"/>
        <w:rPr>
          <w:rFonts w:ascii="Times New Roman" w:hAnsi="Times New Roman" w:cs="Times New Roman"/>
          <w:b/>
          <w:sz w:val="24"/>
          <w:szCs w:val="24"/>
          <w:lang w:val="en-US"/>
        </w:rPr>
      </w:pPr>
      <w:r w:rsidRPr="00D62A84">
        <w:rPr>
          <w:rFonts w:ascii="Times New Roman" w:hAnsi="Times New Roman" w:cs="Times New Roman"/>
          <w:b/>
          <w:sz w:val="24"/>
          <w:szCs w:val="24"/>
          <w:lang w:val="en-US"/>
        </w:rPr>
        <w:t xml:space="preserve">Information </w:t>
      </w:r>
      <w:r w:rsidRPr="00D62A84">
        <w:rPr>
          <w:rFonts w:ascii="Times New Roman" w:hAnsi="Times New Roman" w:cs="Times New Roman"/>
          <w:b/>
          <w:sz w:val="24"/>
          <w:szCs w:val="24"/>
          <w:lang w:val="en-US"/>
        </w:rPr>
        <w:br/>
      </w:r>
      <w:r w:rsidR="00106A2F" w:rsidRPr="00D62A84">
        <w:rPr>
          <w:rFonts w:ascii="Times New Roman" w:hAnsi="Times New Roman" w:cs="Times New Roman"/>
          <w:b/>
          <w:sz w:val="24"/>
          <w:szCs w:val="24"/>
          <w:lang w:val="en-US"/>
        </w:rPr>
        <w:t>on the development of the “Development Strategy of JSCB "</w:t>
      </w:r>
      <w:proofErr w:type="spellStart"/>
      <w:r w:rsidR="00106A2F" w:rsidRPr="00D62A84">
        <w:rPr>
          <w:rFonts w:ascii="Times New Roman" w:hAnsi="Times New Roman" w:cs="Times New Roman"/>
          <w:b/>
          <w:sz w:val="24"/>
          <w:szCs w:val="24"/>
          <w:lang w:val="en-US"/>
        </w:rPr>
        <w:t>Microcreditbank</w:t>
      </w:r>
      <w:proofErr w:type="spellEnd"/>
      <w:r w:rsidR="00106A2F" w:rsidRPr="00D62A84">
        <w:rPr>
          <w:rFonts w:ascii="Times New Roman" w:hAnsi="Times New Roman" w:cs="Times New Roman"/>
          <w:b/>
          <w:sz w:val="24"/>
          <w:szCs w:val="24"/>
          <w:lang w:val="en-US"/>
        </w:rPr>
        <w:t xml:space="preserve">"” </w:t>
      </w:r>
      <w:r w:rsidRPr="00D62A84">
        <w:rPr>
          <w:rFonts w:ascii="Times New Roman" w:hAnsi="Times New Roman" w:cs="Times New Roman"/>
          <w:b/>
          <w:sz w:val="24"/>
          <w:szCs w:val="24"/>
          <w:lang w:val="en-US"/>
        </w:rPr>
        <w:br/>
      </w:r>
      <w:r w:rsidR="00106A2F" w:rsidRPr="00D62A84">
        <w:rPr>
          <w:rFonts w:ascii="Times New Roman" w:hAnsi="Times New Roman" w:cs="Times New Roman"/>
          <w:b/>
          <w:sz w:val="24"/>
          <w:szCs w:val="24"/>
          <w:lang w:val="en-US"/>
        </w:rPr>
        <w:t>for 2021-2025</w:t>
      </w:r>
    </w:p>
    <w:p w:rsidR="00661B45" w:rsidRPr="00A91129" w:rsidRDefault="00661B45" w:rsidP="00266996">
      <w:pPr>
        <w:pStyle w:val="a3"/>
        <w:spacing w:line="240" w:lineRule="auto"/>
        <w:jc w:val="both"/>
        <w:rPr>
          <w:rFonts w:ascii="Times New Roman" w:hAnsi="Times New Roman" w:cs="Times New Roman"/>
          <w:b/>
          <w:lang w:val="en-US"/>
        </w:rPr>
      </w:pPr>
    </w:p>
    <w:p w:rsidR="00266996" w:rsidRPr="00A91129" w:rsidRDefault="00266996" w:rsidP="00D62A84">
      <w:pPr>
        <w:pStyle w:val="a3"/>
        <w:ind w:left="0"/>
        <w:jc w:val="both"/>
        <w:rPr>
          <w:rFonts w:ascii="Times New Roman" w:hAnsi="Times New Roman" w:cs="Times New Roman"/>
          <w:b/>
          <w:bCs/>
          <w:lang w:val="uz-Cyrl-UZ"/>
        </w:rPr>
      </w:pPr>
      <w:r w:rsidRPr="00D62A84">
        <w:rPr>
          <w:rFonts w:ascii="Times New Roman" w:hAnsi="Times New Roman" w:cs="Times New Roman"/>
          <w:b/>
          <w:bCs/>
          <w:lang w:val="en-US"/>
        </w:rPr>
        <w:t>The basis for the development of the Strategy</w:t>
      </w:r>
    </w:p>
    <w:p w:rsidR="00661B45" w:rsidRPr="00A91129" w:rsidRDefault="00106A2F"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The following legal acts served as the basis for the development of the Strategy:</w:t>
      </w:r>
    </w:p>
    <w:p w:rsidR="007E0347" w:rsidRPr="00A91129" w:rsidRDefault="00106A2F" w:rsidP="00491391">
      <w:pPr>
        <w:spacing w:after="0" w:line="240" w:lineRule="auto"/>
        <w:rPr>
          <w:rFonts w:ascii="Times New Roman" w:hAnsi="Times New Roman" w:cs="Times New Roman"/>
          <w:lang w:val="en-US"/>
        </w:rPr>
      </w:pPr>
      <w:r w:rsidRPr="00A91129">
        <w:rPr>
          <w:rFonts w:ascii="Times New Roman" w:hAnsi="Times New Roman" w:cs="Times New Roman"/>
          <w:lang w:val="en-US"/>
        </w:rPr>
        <w:t>- Decree of the President of the Republic of Uzbekistan No. PP-3620 dated March 23,</w:t>
      </w:r>
      <w:r w:rsidR="00491391">
        <w:rPr>
          <w:rFonts w:ascii="Times New Roman" w:hAnsi="Times New Roman" w:cs="Times New Roman"/>
          <w:lang w:val="en-US"/>
        </w:rPr>
        <w:t xml:space="preserve"> </w:t>
      </w:r>
      <w:r w:rsidRPr="00A91129">
        <w:rPr>
          <w:rFonts w:ascii="Times New Roman" w:hAnsi="Times New Roman" w:cs="Times New Roman"/>
          <w:lang w:val="en-US"/>
        </w:rPr>
        <w:t>2018</w:t>
      </w:r>
      <w:r w:rsidR="0094598E" w:rsidRPr="00A91129">
        <w:rPr>
          <w:rFonts w:ascii="Times New Roman" w:hAnsi="Times New Roman" w:cs="Times New Roman"/>
          <w:lang w:val="en-US"/>
        </w:rPr>
        <w:t xml:space="preserve"> </w:t>
      </w:r>
      <w:r w:rsidRPr="00A91129">
        <w:rPr>
          <w:rFonts w:ascii="Times New Roman" w:hAnsi="Times New Roman" w:cs="Times New Roman"/>
          <w:lang w:val="en-US"/>
        </w:rPr>
        <w:t>"On additional measures to increase the availability of banking services";</w:t>
      </w:r>
    </w:p>
    <w:p w:rsidR="00661B45" w:rsidRPr="00A91129" w:rsidRDefault="00106A2F" w:rsidP="00491391">
      <w:pPr>
        <w:spacing w:after="0" w:line="240" w:lineRule="auto"/>
        <w:rPr>
          <w:rFonts w:ascii="Times New Roman" w:hAnsi="Times New Roman" w:cs="Times New Roman"/>
          <w:lang w:val="en-US"/>
        </w:rPr>
      </w:pPr>
      <w:r w:rsidRPr="00A91129">
        <w:rPr>
          <w:rFonts w:ascii="Times New Roman" w:hAnsi="Times New Roman" w:cs="Times New Roman"/>
          <w:lang w:val="en-US"/>
        </w:rPr>
        <w:t>- Decree of the President of the Republic of Uzbekistan No. PP-4699 dated April 28,</w:t>
      </w:r>
      <w:r w:rsidR="00491391">
        <w:rPr>
          <w:rFonts w:ascii="Times New Roman" w:hAnsi="Times New Roman" w:cs="Times New Roman"/>
          <w:lang w:val="en-US"/>
        </w:rPr>
        <w:t xml:space="preserve"> </w:t>
      </w:r>
      <w:r w:rsidRPr="00A91129">
        <w:rPr>
          <w:rFonts w:ascii="Times New Roman" w:hAnsi="Times New Roman" w:cs="Times New Roman"/>
          <w:lang w:val="en-US"/>
        </w:rPr>
        <w:t>2020 "On measures for the widespread introduction of the digital economy and e-government";</w:t>
      </w:r>
    </w:p>
    <w:p w:rsidR="00661B45" w:rsidRPr="00A91129" w:rsidRDefault="00106A2F" w:rsidP="00491391">
      <w:pPr>
        <w:spacing w:after="0" w:line="240" w:lineRule="auto"/>
        <w:rPr>
          <w:rFonts w:ascii="Times New Roman" w:hAnsi="Times New Roman" w:cs="Times New Roman"/>
          <w:lang w:val="en-US"/>
        </w:rPr>
      </w:pPr>
      <w:r w:rsidRPr="00A91129">
        <w:rPr>
          <w:rFonts w:ascii="Times New Roman" w:hAnsi="Times New Roman" w:cs="Times New Roman"/>
          <w:lang w:val="en-US"/>
        </w:rPr>
        <w:t>- Decree of the President of the Republic of Uzbekistan No. UP-5992 dated May 12, 2020 "On the Strategy for Reforming the Banking System of the Republic of Uzbekistan for 2020-2025".</w:t>
      </w:r>
    </w:p>
    <w:p w:rsidR="0083220A" w:rsidRPr="00A91129" w:rsidRDefault="0083220A"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w:t>
      </w:r>
      <w:proofErr w:type="spellStart"/>
      <w:r w:rsidRPr="00A91129">
        <w:rPr>
          <w:rFonts w:ascii="Times New Roman" w:hAnsi="Times New Roman" w:cs="Times New Roman"/>
          <w:lang w:val="en-US"/>
        </w:rPr>
        <w:t>Pricewaterhouse</w:t>
      </w:r>
      <w:proofErr w:type="spellEnd"/>
      <w:r w:rsidRPr="00A91129">
        <w:rPr>
          <w:rFonts w:ascii="Times New Roman" w:hAnsi="Times New Roman" w:cs="Times New Roman"/>
          <w:lang w:val="en-US"/>
        </w:rPr>
        <w:t xml:space="preserve"> Coopers Central Asia and Caucasus B.V." Together with the company "</w:t>
      </w:r>
      <w:proofErr w:type="spellStart"/>
      <w:r w:rsidRPr="00A91129">
        <w:rPr>
          <w:rFonts w:ascii="Times New Roman" w:hAnsi="Times New Roman" w:cs="Times New Roman"/>
          <w:lang w:val="en-US"/>
        </w:rPr>
        <w:t>Mikrokreditbank</w:t>
      </w:r>
      <w:proofErr w:type="spellEnd"/>
      <w:r w:rsidRPr="00A91129">
        <w:rPr>
          <w:rFonts w:ascii="Times New Roman" w:hAnsi="Times New Roman" w:cs="Times New Roman"/>
          <w:lang w:val="en-US"/>
        </w:rPr>
        <w:t>" ATB Development Strategy was developed.</w:t>
      </w:r>
    </w:p>
    <w:p w:rsidR="00E44234" w:rsidRPr="00A91129" w:rsidRDefault="00E44234" w:rsidP="00D62A84">
      <w:pPr>
        <w:pStyle w:val="a3"/>
        <w:spacing w:before="120" w:after="0" w:line="256" w:lineRule="auto"/>
        <w:ind w:left="0"/>
        <w:jc w:val="both"/>
        <w:rPr>
          <w:rFonts w:ascii="Times New Roman" w:hAnsi="Times New Roman" w:cs="Times New Roman"/>
          <w:b/>
          <w:bCs/>
          <w:lang w:val="en-US"/>
        </w:rPr>
      </w:pPr>
      <w:r w:rsidRPr="00A91129">
        <w:rPr>
          <w:rFonts w:ascii="Times New Roman" w:hAnsi="Times New Roman" w:cs="Times New Roman"/>
          <w:b/>
          <w:bCs/>
          <w:lang w:val="en-US"/>
        </w:rPr>
        <w:t>Scope of work in the framework of the development of the Strategy</w:t>
      </w:r>
    </w:p>
    <w:p w:rsidR="00564CE9" w:rsidRPr="00A91129" w:rsidRDefault="00E44234" w:rsidP="00D62A84">
      <w:pPr>
        <w:pStyle w:val="a3"/>
        <w:spacing w:after="0"/>
        <w:ind w:left="0"/>
        <w:contextualSpacing w:val="0"/>
        <w:jc w:val="both"/>
        <w:rPr>
          <w:rFonts w:ascii="Times New Roman" w:hAnsi="Times New Roman" w:cs="Times New Roman"/>
          <w:b/>
          <w:bCs/>
          <w:lang w:val="en-US"/>
        </w:rPr>
      </w:pPr>
      <w:r w:rsidRPr="00A91129">
        <w:rPr>
          <w:rFonts w:ascii="Times New Roman" w:hAnsi="Times New Roman" w:cs="Times New Roman"/>
          <w:b/>
          <w:bCs/>
          <w:lang w:val="en-US"/>
        </w:rPr>
        <w:t xml:space="preserve">I stage. The macroeconomic situation, analysis of the banking sector, and position of </w:t>
      </w:r>
      <w:proofErr w:type="spellStart"/>
      <w:r w:rsidRPr="00A91129">
        <w:rPr>
          <w:rFonts w:ascii="Times New Roman" w:hAnsi="Times New Roman" w:cs="Times New Roman"/>
          <w:b/>
          <w:bCs/>
          <w:lang w:val="en-US"/>
        </w:rPr>
        <w:t>Microcreditbank</w:t>
      </w:r>
      <w:proofErr w:type="spellEnd"/>
      <w:r w:rsidRPr="00A91129">
        <w:rPr>
          <w:rFonts w:ascii="Times New Roman" w:hAnsi="Times New Roman" w:cs="Times New Roman"/>
          <w:b/>
          <w:bCs/>
          <w:lang w:val="en-US"/>
        </w:rPr>
        <w:t xml:space="preserve"> in the market</w:t>
      </w:r>
    </w:p>
    <w:p w:rsidR="00E44234" w:rsidRPr="00A91129" w:rsidRDefault="00E44234" w:rsidP="00D62A84">
      <w:pPr>
        <w:pStyle w:val="a3"/>
        <w:spacing w:after="0"/>
        <w:ind w:left="0"/>
        <w:contextualSpacing w:val="0"/>
        <w:jc w:val="both"/>
        <w:rPr>
          <w:rFonts w:ascii="Times New Roman" w:hAnsi="Times New Roman" w:cs="Times New Roman"/>
          <w:lang w:val="en-US"/>
        </w:rPr>
      </w:pPr>
      <w:r w:rsidRPr="00A91129">
        <w:rPr>
          <w:rFonts w:ascii="Times New Roman" w:hAnsi="Times New Roman" w:cs="Times New Roman"/>
          <w:b/>
          <w:bCs/>
          <w:lang w:val="en-US"/>
        </w:rPr>
        <w:t>II stage. Understanding the current position of the Bank</w:t>
      </w:r>
    </w:p>
    <w:p w:rsidR="007E0347" w:rsidRPr="00A91129" w:rsidRDefault="00564CE9" w:rsidP="00D62A84">
      <w:pPr>
        <w:spacing w:after="0"/>
        <w:jc w:val="both"/>
        <w:rPr>
          <w:rFonts w:ascii="Times New Roman" w:eastAsia="Calibri" w:hAnsi="Times New Roman" w:cs="Times New Roman"/>
          <w:b/>
          <w:bCs/>
          <w:lang w:val="en-US"/>
        </w:rPr>
      </w:pPr>
      <w:r w:rsidRPr="00A91129">
        <w:rPr>
          <w:rFonts w:ascii="Times New Roman" w:hAnsi="Times New Roman" w:cs="Times New Roman"/>
          <w:b/>
          <w:bCs/>
          <w:lang w:val="en-US"/>
        </w:rPr>
        <w:t>III stage</w:t>
      </w:r>
      <w:r w:rsidRPr="00A91129">
        <w:rPr>
          <w:rFonts w:ascii="Times New Roman" w:eastAsia="Calibri" w:hAnsi="Times New Roman" w:cs="Times New Roman"/>
          <w:b/>
          <w:bCs/>
          <w:lang w:val="en-US"/>
        </w:rPr>
        <w:t xml:space="preserve"> </w:t>
      </w:r>
      <w:r w:rsidR="007E0347" w:rsidRPr="00A91129">
        <w:rPr>
          <w:rFonts w:ascii="Times New Roman" w:eastAsia="Calibri" w:hAnsi="Times New Roman" w:cs="Times New Roman"/>
          <w:b/>
          <w:bCs/>
          <w:lang w:val="en-US"/>
        </w:rPr>
        <w:t>Development strategy of JSCB "</w:t>
      </w:r>
      <w:proofErr w:type="spellStart"/>
      <w:r w:rsidR="007E0347" w:rsidRPr="00A91129">
        <w:rPr>
          <w:rFonts w:ascii="Times New Roman" w:eastAsia="Calibri" w:hAnsi="Times New Roman" w:cs="Times New Roman"/>
          <w:b/>
          <w:bCs/>
          <w:lang w:val="en-US"/>
        </w:rPr>
        <w:t>Microcreditbank</w:t>
      </w:r>
      <w:proofErr w:type="spellEnd"/>
      <w:r w:rsidR="007E0347" w:rsidRPr="00A91129">
        <w:rPr>
          <w:rFonts w:ascii="Times New Roman" w:eastAsia="Calibri" w:hAnsi="Times New Roman" w:cs="Times New Roman"/>
          <w:b/>
          <w:bCs/>
          <w:lang w:val="en-US"/>
        </w:rPr>
        <w:t>"</w:t>
      </w:r>
    </w:p>
    <w:p w:rsidR="00564CE9" w:rsidRPr="00A91129" w:rsidRDefault="00564CE9" w:rsidP="00A91129">
      <w:pPr>
        <w:spacing w:after="0" w:line="240" w:lineRule="auto"/>
        <w:jc w:val="both"/>
        <w:rPr>
          <w:rFonts w:ascii="Times New Roman" w:hAnsi="Times New Roman" w:cs="Times New Roman"/>
          <w:lang w:val="en-US"/>
        </w:rPr>
      </w:pPr>
      <w:r w:rsidRPr="00A91129">
        <w:rPr>
          <w:rFonts w:ascii="Times New Roman" w:hAnsi="Times New Roman" w:cs="Times New Roman"/>
          <w:b/>
          <w:lang w:val="en-US"/>
        </w:rPr>
        <w:t>As a result of the analysis of the initial position of the bank, the following main conditions were determined:</w:t>
      </w:r>
    </w:p>
    <w:p w:rsidR="00564CE9" w:rsidRPr="00A91129" w:rsidRDefault="00564CE9" w:rsidP="00A91129">
      <w:pPr>
        <w:pStyle w:val="a3"/>
        <w:numPr>
          <w:ilvl w:val="0"/>
          <w:numId w:val="21"/>
        </w:numPr>
        <w:spacing w:after="0" w:line="240" w:lineRule="auto"/>
        <w:jc w:val="both"/>
        <w:rPr>
          <w:rFonts w:ascii="Times New Roman" w:hAnsi="Times New Roman" w:cs="Times New Roman"/>
          <w:lang w:val="en-US"/>
        </w:rPr>
      </w:pPr>
      <w:r w:rsidRPr="00A91129">
        <w:rPr>
          <w:rFonts w:ascii="Times New Roman" w:hAnsi="Times New Roman" w:cs="Times New Roman"/>
          <w:lang w:val="en-US"/>
        </w:rPr>
        <w:t>To become one of the leading banks in the segment of micro, small and medium business (hereinafter - SME);</w:t>
      </w:r>
    </w:p>
    <w:p w:rsidR="00564CE9" w:rsidRPr="00A91129" w:rsidRDefault="00564CE9" w:rsidP="00A91129">
      <w:pPr>
        <w:pStyle w:val="a3"/>
        <w:numPr>
          <w:ilvl w:val="0"/>
          <w:numId w:val="21"/>
        </w:numPr>
        <w:spacing w:after="0" w:line="240" w:lineRule="auto"/>
        <w:jc w:val="both"/>
        <w:rPr>
          <w:rFonts w:ascii="Times New Roman" w:hAnsi="Times New Roman" w:cs="Times New Roman"/>
          <w:lang w:val="en-US"/>
        </w:rPr>
      </w:pPr>
      <w:r w:rsidRPr="00A91129">
        <w:rPr>
          <w:rFonts w:ascii="Times New Roman" w:hAnsi="Times New Roman" w:cs="Times New Roman"/>
          <w:lang w:val="en-US"/>
        </w:rPr>
        <w:t>Increasing the volume of services to the SME and retail segment of the Uzbek market;</w:t>
      </w:r>
    </w:p>
    <w:p w:rsidR="00564CE9" w:rsidRPr="00A91129" w:rsidRDefault="00564CE9" w:rsidP="00A91129">
      <w:pPr>
        <w:pStyle w:val="a3"/>
        <w:numPr>
          <w:ilvl w:val="0"/>
          <w:numId w:val="21"/>
        </w:numPr>
        <w:spacing w:after="0" w:line="240" w:lineRule="auto"/>
        <w:jc w:val="both"/>
        <w:rPr>
          <w:rFonts w:ascii="Times New Roman" w:hAnsi="Times New Roman" w:cs="Times New Roman"/>
          <w:lang w:val="en-US"/>
        </w:rPr>
      </w:pPr>
      <w:r w:rsidRPr="00A91129">
        <w:rPr>
          <w:rFonts w:ascii="Times New Roman" w:hAnsi="Times New Roman" w:cs="Times New Roman"/>
          <w:lang w:val="en-US"/>
        </w:rPr>
        <w:t>To ensure rapid growth of the bank's customer base, to take a leading position in retail lending and digital services in the SME segment;</w:t>
      </w:r>
    </w:p>
    <w:p w:rsidR="00564CE9" w:rsidRPr="00A91129" w:rsidRDefault="00564CE9" w:rsidP="00A91129">
      <w:pPr>
        <w:pStyle w:val="a3"/>
        <w:numPr>
          <w:ilvl w:val="0"/>
          <w:numId w:val="21"/>
        </w:numPr>
        <w:spacing w:after="0" w:line="240" w:lineRule="auto"/>
        <w:jc w:val="both"/>
        <w:rPr>
          <w:rFonts w:ascii="Times New Roman" w:hAnsi="Times New Roman" w:cs="Times New Roman"/>
          <w:lang w:val="en-US"/>
        </w:rPr>
      </w:pPr>
      <w:r w:rsidRPr="00A91129">
        <w:rPr>
          <w:rFonts w:ascii="Times New Roman" w:hAnsi="Times New Roman" w:cs="Times New Roman"/>
          <w:lang w:val="en-US"/>
        </w:rPr>
        <w:t>The bank's strategic assets include:</w:t>
      </w:r>
    </w:p>
    <w:p w:rsidR="00564CE9" w:rsidRPr="00A91129" w:rsidRDefault="00564CE9"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 Initially (when the Bank was established), certain target segments were identified - small and medium-sized businesses;</w:t>
      </w:r>
    </w:p>
    <w:p w:rsidR="00564CE9" w:rsidRPr="00A91129" w:rsidRDefault="00564CE9"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 Availability of unsecured online loan products for individuals and legal entities;</w:t>
      </w:r>
    </w:p>
    <w:p w:rsidR="00564CE9" w:rsidRPr="00A91129" w:rsidRDefault="00564CE9"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 Large network of branches;</w:t>
      </w:r>
    </w:p>
    <w:p w:rsidR="00564CE9" w:rsidRPr="00A91129" w:rsidRDefault="00564CE9" w:rsidP="00A91129">
      <w:pPr>
        <w:spacing w:after="0" w:line="240" w:lineRule="auto"/>
        <w:jc w:val="both"/>
        <w:rPr>
          <w:rFonts w:ascii="Times New Roman" w:hAnsi="Times New Roman" w:cs="Times New Roman"/>
          <w:lang w:val="en-US"/>
        </w:rPr>
      </w:pPr>
      <w:r w:rsidRPr="00A91129">
        <w:rPr>
          <w:rFonts w:ascii="Times New Roman" w:hAnsi="Times New Roman" w:cs="Times New Roman"/>
          <w:lang w:val="en-US"/>
        </w:rPr>
        <w:t>- Historical experience of financing the segment with minimal access to financial services.</w:t>
      </w:r>
    </w:p>
    <w:p w:rsidR="007912A8" w:rsidRPr="00A91129" w:rsidRDefault="007912A8" w:rsidP="00A91129">
      <w:pPr>
        <w:spacing w:after="0" w:line="240" w:lineRule="auto"/>
        <w:jc w:val="both"/>
        <w:rPr>
          <w:rFonts w:ascii="Times New Roman" w:hAnsi="Times New Roman" w:cs="Times New Roman"/>
          <w:b/>
          <w:lang w:val="en-US"/>
        </w:rPr>
      </w:pPr>
      <w:r w:rsidRPr="00A91129">
        <w:rPr>
          <w:rFonts w:ascii="Times New Roman" w:hAnsi="Times New Roman" w:cs="Times New Roman"/>
          <w:b/>
          <w:lang w:val="en-US"/>
        </w:rPr>
        <w:t>The main directions of development of the bank:</w:t>
      </w: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1843"/>
        <w:gridCol w:w="2835"/>
        <w:gridCol w:w="1985"/>
      </w:tblGrid>
      <w:tr w:rsidR="007912A8" w:rsidRPr="00A91129" w:rsidTr="00D2290F">
        <w:trPr>
          <w:trHeight w:val="613"/>
        </w:trPr>
        <w:tc>
          <w:tcPr>
            <w:tcW w:w="1418" w:type="dxa"/>
          </w:tcPr>
          <w:p w:rsidR="007912A8" w:rsidRPr="00A91129" w:rsidRDefault="007912A8" w:rsidP="007912A8">
            <w:pPr>
              <w:pStyle w:val="TableParagraph"/>
              <w:ind w:right="8"/>
              <w:jc w:val="center"/>
              <w:rPr>
                <w:b/>
              </w:rPr>
            </w:pPr>
            <w:r w:rsidRPr="00A91129">
              <w:rPr>
                <w:b/>
              </w:rPr>
              <w:t>Customers</w:t>
            </w:r>
          </w:p>
          <w:p w:rsidR="007912A8" w:rsidRPr="00A91129" w:rsidRDefault="007912A8" w:rsidP="007912A8">
            <w:pPr>
              <w:pStyle w:val="TableParagraph"/>
              <w:ind w:right="8"/>
              <w:jc w:val="center"/>
              <w:rPr>
                <w:b/>
              </w:rPr>
            </w:pPr>
            <w:r w:rsidRPr="00A91129">
              <w:rPr>
                <w:b/>
              </w:rPr>
              <w:t xml:space="preserve">segment </w:t>
            </w:r>
          </w:p>
        </w:tc>
        <w:tc>
          <w:tcPr>
            <w:tcW w:w="2126" w:type="dxa"/>
          </w:tcPr>
          <w:p w:rsidR="007912A8" w:rsidRPr="00A91129" w:rsidRDefault="007912A8" w:rsidP="009A1067">
            <w:pPr>
              <w:pStyle w:val="TableParagraph"/>
              <w:ind w:right="99"/>
              <w:jc w:val="center"/>
              <w:rPr>
                <w:b/>
              </w:rPr>
            </w:pPr>
            <w:r w:rsidRPr="00A91129">
              <w:rPr>
                <w:b/>
              </w:rPr>
              <w:t>Micro, small and medium business - MSMb</w:t>
            </w:r>
          </w:p>
        </w:tc>
        <w:tc>
          <w:tcPr>
            <w:tcW w:w="1843" w:type="dxa"/>
          </w:tcPr>
          <w:p w:rsidR="007912A8" w:rsidRPr="00A91129" w:rsidRDefault="007912A8" w:rsidP="007912A8">
            <w:pPr>
              <w:pStyle w:val="TableParagraph"/>
              <w:spacing w:line="273" w:lineRule="exact"/>
              <w:jc w:val="center"/>
              <w:rPr>
                <w:b/>
              </w:rPr>
            </w:pPr>
            <w:r w:rsidRPr="00A91129">
              <w:rPr>
                <w:b/>
              </w:rPr>
              <w:t xml:space="preserve">Individuals </w:t>
            </w:r>
          </w:p>
        </w:tc>
        <w:tc>
          <w:tcPr>
            <w:tcW w:w="2835" w:type="dxa"/>
          </w:tcPr>
          <w:p w:rsidR="007912A8" w:rsidRPr="00A91129" w:rsidRDefault="007912A8" w:rsidP="007912A8">
            <w:pPr>
              <w:pStyle w:val="TableParagraph"/>
              <w:spacing w:line="276" w:lineRule="exact"/>
              <w:jc w:val="center"/>
              <w:rPr>
                <w:b/>
              </w:rPr>
            </w:pPr>
            <w:r w:rsidRPr="00A91129">
              <w:rPr>
                <w:b/>
              </w:rPr>
              <w:t xml:space="preserve">Individuals with minimal access to financial services </w:t>
            </w:r>
          </w:p>
        </w:tc>
        <w:tc>
          <w:tcPr>
            <w:tcW w:w="1985" w:type="dxa"/>
          </w:tcPr>
          <w:p w:rsidR="007912A8" w:rsidRPr="00A91129" w:rsidRDefault="007912A8" w:rsidP="007912A8">
            <w:pPr>
              <w:pStyle w:val="TableParagraph"/>
              <w:ind w:left="150" w:right="102"/>
              <w:jc w:val="center"/>
              <w:rPr>
                <w:b/>
              </w:rPr>
            </w:pPr>
            <w:r w:rsidRPr="00A91129">
              <w:rPr>
                <w:b/>
              </w:rPr>
              <w:t>Corporate business</w:t>
            </w:r>
          </w:p>
        </w:tc>
      </w:tr>
      <w:tr w:rsidR="007912A8" w:rsidRPr="00A91129" w:rsidTr="00D2290F">
        <w:trPr>
          <w:trHeight w:val="1455"/>
        </w:trPr>
        <w:tc>
          <w:tcPr>
            <w:tcW w:w="1418" w:type="dxa"/>
          </w:tcPr>
          <w:p w:rsidR="007912A8" w:rsidRPr="00A91129" w:rsidRDefault="007912A8" w:rsidP="009A1067">
            <w:pPr>
              <w:pStyle w:val="TableParagraph"/>
              <w:ind w:left="150" w:right="151"/>
              <w:rPr>
                <w:b/>
              </w:rPr>
            </w:pPr>
            <w:r w:rsidRPr="00A91129">
              <w:rPr>
                <w:b/>
              </w:rPr>
              <w:t>Strategic prio</w:t>
            </w:r>
            <w:r w:rsidRPr="00DF43A8">
              <w:rPr>
                <w:b/>
              </w:rPr>
              <w:t>rities</w:t>
            </w:r>
          </w:p>
        </w:tc>
        <w:tc>
          <w:tcPr>
            <w:tcW w:w="2126" w:type="dxa"/>
          </w:tcPr>
          <w:p w:rsidR="007912A8" w:rsidRPr="00A91129" w:rsidRDefault="007912A8" w:rsidP="00CD5C5A">
            <w:pPr>
              <w:pStyle w:val="TableParagraph"/>
              <w:tabs>
                <w:tab w:val="left" w:pos="736"/>
                <w:tab w:val="left" w:pos="737"/>
                <w:tab w:val="left" w:pos="1650"/>
              </w:tabs>
              <w:ind w:left="1" w:right="144"/>
            </w:pPr>
            <w:r w:rsidRPr="00A91129">
              <w:t>1. Service and service change;</w:t>
            </w:r>
          </w:p>
          <w:p w:rsidR="007912A8" w:rsidRPr="00A91129" w:rsidRDefault="007912A8" w:rsidP="00CD5C5A">
            <w:pPr>
              <w:pStyle w:val="TableParagraph"/>
              <w:tabs>
                <w:tab w:val="left" w:pos="736"/>
                <w:tab w:val="left" w:pos="737"/>
                <w:tab w:val="left" w:pos="1650"/>
              </w:tabs>
              <w:ind w:left="1" w:right="144"/>
              <w:rPr>
                <w:spacing w:val="-57"/>
              </w:rPr>
            </w:pPr>
            <w:r w:rsidRPr="00A91129">
              <w:t>2. Conduct detailed customer segmentation and develop approaches to each segment of MSMb</w:t>
            </w:r>
          </w:p>
        </w:tc>
        <w:tc>
          <w:tcPr>
            <w:tcW w:w="1843" w:type="dxa"/>
          </w:tcPr>
          <w:p w:rsidR="007912A8" w:rsidRPr="00A91129" w:rsidRDefault="002B35D5" w:rsidP="00CD5C5A">
            <w:pPr>
              <w:pStyle w:val="TableParagraph"/>
              <w:tabs>
                <w:tab w:val="left" w:pos="1342"/>
                <w:tab w:val="left" w:pos="1930"/>
              </w:tabs>
              <w:ind w:right="100"/>
            </w:pPr>
            <w:r w:rsidRPr="00A91129">
              <w:t>1. Development of digital financial services and unsecured lending</w:t>
            </w:r>
          </w:p>
        </w:tc>
        <w:tc>
          <w:tcPr>
            <w:tcW w:w="2835" w:type="dxa"/>
          </w:tcPr>
          <w:p w:rsidR="002B35D5" w:rsidRPr="00A91129" w:rsidRDefault="002B35D5" w:rsidP="00CD5C5A">
            <w:pPr>
              <w:pStyle w:val="TableParagraph"/>
              <w:spacing w:line="270" w:lineRule="exact"/>
              <w:ind w:left="138"/>
            </w:pPr>
            <w:r w:rsidRPr="00A91129">
              <w:t>Strategic priorities 1. Service and service change;</w:t>
            </w:r>
          </w:p>
          <w:p w:rsidR="002B35D5" w:rsidRPr="00A91129" w:rsidRDefault="002B35D5" w:rsidP="00CD5C5A">
            <w:pPr>
              <w:pStyle w:val="TableParagraph"/>
              <w:spacing w:line="270" w:lineRule="exact"/>
              <w:ind w:left="138"/>
            </w:pPr>
            <w:r w:rsidRPr="00A91129">
              <w:t>2. Conduct detailed customer segmentation and develop approaches to each segment of MSMb 1. Development of digital financial services and unsecured lending 1. Separate subsidiary for microfinancing</w:t>
            </w:r>
          </w:p>
          <w:p w:rsidR="002B35D5" w:rsidRPr="00A91129" w:rsidRDefault="002B35D5" w:rsidP="00CD5C5A">
            <w:pPr>
              <w:pStyle w:val="TableParagraph"/>
              <w:spacing w:line="270" w:lineRule="exact"/>
              <w:ind w:left="138"/>
            </w:pPr>
            <w:r w:rsidRPr="00A91129">
              <w:t>enterprise - microfinance organization (hereinafter</w:t>
            </w:r>
          </w:p>
          <w:p w:rsidR="007912A8" w:rsidRPr="00A91129" w:rsidRDefault="002B35D5" w:rsidP="00CD5C5A">
            <w:pPr>
              <w:pStyle w:val="TableParagraph"/>
              <w:spacing w:line="270" w:lineRule="exact"/>
              <w:ind w:left="138"/>
            </w:pPr>
            <w:r w:rsidRPr="00A91129">
              <w:t>in places - MMT) organization. 1. Maintaining the current corporate customer base with a regulated approach to lending,</w:t>
            </w:r>
          </w:p>
        </w:tc>
        <w:tc>
          <w:tcPr>
            <w:tcW w:w="1985" w:type="dxa"/>
          </w:tcPr>
          <w:p w:rsidR="002B35D5" w:rsidRPr="00A91129" w:rsidRDefault="002B35D5" w:rsidP="00CD5C5A">
            <w:pPr>
              <w:pStyle w:val="TableParagraph"/>
              <w:tabs>
                <w:tab w:val="left" w:pos="841"/>
                <w:tab w:val="left" w:pos="842"/>
              </w:tabs>
              <w:ind w:right="102"/>
            </w:pPr>
            <w:r w:rsidRPr="00A91129">
              <w:t>1. Maintaining the current corporate customer base with a regulated approach to lending,</w:t>
            </w:r>
          </w:p>
          <w:p w:rsidR="007912A8" w:rsidRPr="00A91129" w:rsidRDefault="002B35D5" w:rsidP="00CD5C5A">
            <w:pPr>
              <w:pStyle w:val="TableParagraph"/>
              <w:tabs>
                <w:tab w:val="left" w:pos="841"/>
                <w:tab w:val="left" w:pos="842"/>
              </w:tabs>
              <w:ind w:right="102"/>
            </w:pPr>
            <w:r w:rsidRPr="00A91129">
              <w:t>2. Development of transaction business;</w:t>
            </w:r>
          </w:p>
        </w:tc>
      </w:tr>
      <w:tr w:rsidR="007912A8" w:rsidRPr="00237E7C" w:rsidTr="00D2290F">
        <w:trPr>
          <w:trHeight w:val="1347"/>
        </w:trPr>
        <w:tc>
          <w:tcPr>
            <w:tcW w:w="1418" w:type="dxa"/>
          </w:tcPr>
          <w:p w:rsidR="007912A8" w:rsidRPr="00A91129" w:rsidRDefault="002B35D5" w:rsidP="009A1067">
            <w:pPr>
              <w:pStyle w:val="TableParagraph"/>
              <w:ind w:left="150" w:right="200"/>
              <w:rPr>
                <w:b/>
              </w:rPr>
            </w:pPr>
            <w:r w:rsidRPr="00A91129">
              <w:rPr>
                <w:b/>
              </w:rPr>
              <w:lastRenderedPageBreak/>
              <w:t>Strategic Initiatives</w:t>
            </w:r>
          </w:p>
        </w:tc>
        <w:tc>
          <w:tcPr>
            <w:tcW w:w="2126" w:type="dxa"/>
          </w:tcPr>
          <w:p w:rsidR="002B35D5" w:rsidRPr="00A91129" w:rsidRDefault="002B35D5" w:rsidP="002B35D5">
            <w:pPr>
              <w:pStyle w:val="TableParagraph"/>
              <w:tabs>
                <w:tab w:val="left" w:pos="415"/>
                <w:tab w:val="left" w:pos="1288"/>
                <w:tab w:val="left" w:pos="1289"/>
              </w:tabs>
            </w:pPr>
            <w:r w:rsidRPr="00A91129">
              <w:t>1. Development of package offers for micro business clients;</w:t>
            </w:r>
          </w:p>
          <w:p w:rsidR="002B35D5" w:rsidRPr="00A91129" w:rsidRDefault="002B35D5" w:rsidP="002B35D5">
            <w:pPr>
              <w:pStyle w:val="TableParagraph"/>
              <w:tabs>
                <w:tab w:val="left" w:pos="415"/>
                <w:tab w:val="left" w:pos="1288"/>
                <w:tab w:val="left" w:pos="1289"/>
              </w:tabs>
            </w:pPr>
            <w:r w:rsidRPr="00A91129">
              <w:t>2. Development of modular offers for small business customers</w:t>
            </w:r>
          </w:p>
          <w:p w:rsidR="002B35D5" w:rsidRPr="00A91129" w:rsidRDefault="002B35D5" w:rsidP="002B35D5">
            <w:pPr>
              <w:pStyle w:val="TableParagraph"/>
              <w:tabs>
                <w:tab w:val="left" w:pos="415"/>
                <w:tab w:val="left" w:pos="1288"/>
                <w:tab w:val="left" w:pos="1289"/>
              </w:tabs>
            </w:pPr>
            <w:r w:rsidRPr="00A91129">
              <w:t>3. Development of individual proposals for medium business clients</w:t>
            </w:r>
          </w:p>
          <w:p w:rsidR="002B35D5" w:rsidRPr="00A91129" w:rsidRDefault="002B35D5" w:rsidP="002B35D5">
            <w:pPr>
              <w:pStyle w:val="TableParagraph"/>
              <w:tabs>
                <w:tab w:val="left" w:pos="415"/>
                <w:tab w:val="left" w:pos="1288"/>
                <w:tab w:val="left" w:pos="1289"/>
              </w:tabs>
            </w:pPr>
            <w:r w:rsidRPr="00A91129">
              <w:t>4. Improvement of "Business Online" credit product</w:t>
            </w:r>
          </w:p>
          <w:p w:rsidR="002B35D5" w:rsidRPr="00A91129" w:rsidRDefault="002B35D5" w:rsidP="002B35D5">
            <w:pPr>
              <w:pStyle w:val="TableParagraph"/>
              <w:tabs>
                <w:tab w:val="left" w:pos="415"/>
                <w:tab w:val="left" w:pos="1288"/>
                <w:tab w:val="left" w:pos="1289"/>
              </w:tabs>
            </w:pPr>
            <w:r w:rsidRPr="00A91129">
              <w:t>5. Expansion of Internet banking services</w:t>
            </w:r>
          </w:p>
          <w:p w:rsidR="007912A8" w:rsidRPr="00A91129" w:rsidRDefault="002B35D5" w:rsidP="002B35D5">
            <w:pPr>
              <w:pStyle w:val="TableParagraph"/>
              <w:tabs>
                <w:tab w:val="left" w:pos="415"/>
                <w:tab w:val="left" w:pos="1288"/>
                <w:tab w:val="left" w:pos="1289"/>
              </w:tabs>
            </w:pPr>
            <w:r w:rsidRPr="00A91129">
              <w:t>6. Development of the contact center</w:t>
            </w:r>
          </w:p>
        </w:tc>
        <w:tc>
          <w:tcPr>
            <w:tcW w:w="1843" w:type="dxa"/>
          </w:tcPr>
          <w:p w:rsidR="002B35D5" w:rsidRPr="00A91129" w:rsidRDefault="002B35D5" w:rsidP="00CD5C5A">
            <w:pPr>
              <w:pStyle w:val="TableParagraph"/>
              <w:tabs>
                <w:tab w:val="left" w:pos="1570"/>
              </w:tabs>
              <w:ind w:left="-2" w:right="101"/>
            </w:pPr>
            <w:r w:rsidRPr="00A91129">
              <w:t>1. Update of the "Online microcredit" credit product for individuals;</w:t>
            </w:r>
          </w:p>
          <w:p w:rsidR="002B35D5" w:rsidRPr="00A91129" w:rsidRDefault="002B35D5" w:rsidP="00CD5C5A">
            <w:pPr>
              <w:pStyle w:val="TableParagraph"/>
              <w:tabs>
                <w:tab w:val="left" w:pos="1570"/>
              </w:tabs>
              <w:ind w:left="-2" w:right="101"/>
            </w:pPr>
            <w:r w:rsidRPr="00A91129">
              <w:t>2. Development of a mobile application for individuals with the expansion of transaction services,</w:t>
            </w:r>
          </w:p>
          <w:p w:rsidR="002B35D5" w:rsidRPr="00A91129" w:rsidRDefault="002B35D5" w:rsidP="00CD5C5A">
            <w:pPr>
              <w:pStyle w:val="TableParagraph"/>
              <w:tabs>
                <w:tab w:val="left" w:pos="1570"/>
              </w:tabs>
              <w:ind w:left="-2" w:right="101"/>
            </w:pPr>
            <w:r w:rsidRPr="00A91129">
              <w:t>3. Development of a product for calculating interest on the balance of funds on the card,</w:t>
            </w:r>
          </w:p>
          <w:p w:rsidR="007912A8" w:rsidRPr="00A91129" w:rsidRDefault="002B35D5" w:rsidP="00CD5C5A">
            <w:pPr>
              <w:pStyle w:val="TableParagraph"/>
              <w:ind w:left="-2"/>
              <w:rPr>
                <w:lang w:val="en-US"/>
              </w:rPr>
            </w:pPr>
            <w:r w:rsidRPr="00A91129">
              <w:t>4. Creating a format-service model of trade and service (branches, departments, roles)</w:t>
            </w:r>
          </w:p>
        </w:tc>
        <w:tc>
          <w:tcPr>
            <w:tcW w:w="2835" w:type="dxa"/>
          </w:tcPr>
          <w:p w:rsidR="007912A8" w:rsidRPr="00A91129" w:rsidRDefault="007912A8" w:rsidP="009A1067">
            <w:pPr>
              <w:pStyle w:val="TableParagraph"/>
              <w:tabs>
                <w:tab w:val="left" w:pos="1643"/>
              </w:tabs>
              <w:ind w:left="99" w:right="97"/>
              <w:rPr>
                <w:spacing w:val="-57"/>
              </w:rPr>
            </w:pPr>
            <w:r w:rsidRPr="00A91129">
              <w:t>1</w:t>
            </w:r>
            <w:r w:rsidR="00CB0724" w:rsidRPr="00CB0724">
              <w:t>. Creation and development of a separate structural unit for microfinance. (The main task of the newly created MKT is to form an "entrepreneurial factory", in which clients will be financed, financial literacy will increase, and as the business develops and the client becomes larger, such clients will transfer to the Bank's services.)</w:t>
            </w:r>
          </w:p>
        </w:tc>
        <w:tc>
          <w:tcPr>
            <w:tcW w:w="1985" w:type="dxa"/>
          </w:tcPr>
          <w:p w:rsidR="002B35D5" w:rsidRPr="00A91129" w:rsidRDefault="002B35D5" w:rsidP="002B35D5">
            <w:pPr>
              <w:pStyle w:val="TableParagraph"/>
              <w:ind w:left="15" w:right="102"/>
            </w:pPr>
            <w:r w:rsidRPr="00A91129">
              <w:t>1. Updated service model.</w:t>
            </w:r>
          </w:p>
          <w:p w:rsidR="002B35D5" w:rsidRPr="00A91129" w:rsidRDefault="002B35D5" w:rsidP="002B35D5">
            <w:pPr>
              <w:pStyle w:val="TableParagraph"/>
              <w:ind w:left="15" w:right="102"/>
            </w:pPr>
            <w:r w:rsidRPr="00A91129">
              <w:t>(On working with corporate clients in branches</w:t>
            </w:r>
          </w:p>
          <w:p w:rsidR="002B35D5" w:rsidRPr="00A91129" w:rsidRDefault="002B35D5" w:rsidP="002B35D5">
            <w:pPr>
              <w:pStyle w:val="TableParagraph"/>
              <w:ind w:left="15" w:right="102"/>
            </w:pPr>
            <w:r w:rsidRPr="00A91129">
              <w:t>managers, developing an updated product offering),</w:t>
            </w:r>
          </w:p>
          <w:p w:rsidR="007912A8" w:rsidRPr="00A91129" w:rsidRDefault="002B35D5" w:rsidP="002B35D5">
            <w:pPr>
              <w:pStyle w:val="TableParagraph"/>
              <w:spacing w:line="264" w:lineRule="exact"/>
              <w:ind w:left="15" w:right="102"/>
            </w:pPr>
            <w:r w:rsidRPr="00A91129">
              <w:t>2. Development of individual proposals for corporate clients.</w:t>
            </w:r>
          </w:p>
        </w:tc>
      </w:tr>
    </w:tbl>
    <w:p w:rsidR="002B35D5" w:rsidRPr="00A91129" w:rsidRDefault="002B35D5" w:rsidP="002B35D5">
      <w:pPr>
        <w:rPr>
          <w:rFonts w:ascii="Times New Roman" w:hAnsi="Times New Roman" w:cs="Times New Roman"/>
          <w:lang w:val="en-US"/>
        </w:rPr>
      </w:pP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Additional strategic operational model initiatives in HR, IT, Risk, ALM and Treasury, Finance, Internal Control and Compliance, Operations and Business Processes to implement the necessary large-scale changes in the bank's business model and It allows to achieve the effective implementation of the strategy.</w:t>
      </w:r>
    </w:p>
    <w:p w:rsidR="002B35D5" w:rsidRPr="00A91129" w:rsidRDefault="002B35D5" w:rsidP="00DF43A8">
      <w:pPr>
        <w:rPr>
          <w:rFonts w:ascii="Times New Roman" w:hAnsi="Times New Roman" w:cs="Times New Roman"/>
          <w:b/>
          <w:lang w:val="en-US"/>
        </w:rPr>
      </w:pPr>
      <w:r w:rsidRPr="00A91129">
        <w:rPr>
          <w:rFonts w:ascii="Times New Roman" w:hAnsi="Times New Roman" w:cs="Times New Roman"/>
          <w:b/>
          <w:lang w:val="en-US"/>
        </w:rPr>
        <w:t>Implementation of Transformation within the development strategy</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At the stage of preparation for the implementation of the strategy, it is important for the bank to comply with the following preliminary conditions:</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I. Resources:</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a. Appoint a team fully dedicated to transformation projects,</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II. Management:</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a. Appoint a program manager who reports to the board,</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b. Appointing a leader for each block,</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c. Ensuring the sustainability of the program (appointing "change agents" and ensuring communication of all teams with management),</w:t>
      </w:r>
      <w:bookmarkStart w:id="0" w:name="_GoBack"/>
      <w:bookmarkEnd w:id="0"/>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III. Technologies:</w:t>
      </w:r>
    </w:p>
    <w:p w:rsidR="002B35D5" w:rsidRPr="00A91129" w:rsidRDefault="002B35D5" w:rsidP="00DF43A8">
      <w:pPr>
        <w:rPr>
          <w:rFonts w:ascii="Times New Roman" w:hAnsi="Times New Roman" w:cs="Times New Roman"/>
          <w:lang w:val="en-US"/>
        </w:rPr>
      </w:pPr>
      <w:r w:rsidRPr="00A91129">
        <w:rPr>
          <w:rFonts w:ascii="Times New Roman" w:hAnsi="Times New Roman" w:cs="Times New Roman"/>
          <w:lang w:val="en-US"/>
        </w:rPr>
        <w:t>a. Ensuring that transformation projects have sufficient IT staff, software and hardware.</w:t>
      </w:r>
    </w:p>
    <w:p w:rsidR="00A91129" w:rsidRDefault="00A91129" w:rsidP="00CB3592">
      <w:pPr>
        <w:jc w:val="center"/>
        <w:rPr>
          <w:rFonts w:ascii="Times New Roman" w:hAnsi="Times New Roman" w:cs="Times New Roman"/>
          <w:b/>
          <w:lang w:val="en-US"/>
        </w:rPr>
      </w:pPr>
    </w:p>
    <w:p w:rsidR="00D62A84" w:rsidRDefault="00D62A84" w:rsidP="00CB3592">
      <w:pPr>
        <w:jc w:val="center"/>
        <w:rPr>
          <w:rFonts w:ascii="Times New Roman" w:hAnsi="Times New Roman" w:cs="Times New Roman"/>
          <w:b/>
          <w:lang w:val="en-US"/>
        </w:rPr>
      </w:pPr>
    </w:p>
    <w:p w:rsidR="00491391" w:rsidRDefault="00491391" w:rsidP="00CB3592">
      <w:pPr>
        <w:jc w:val="center"/>
        <w:rPr>
          <w:rFonts w:ascii="Times New Roman" w:hAnsi="Times New Roman" w:cs="Times New Roman"/>
          <w:b/>
          <w:lang w:val="en-US"/>
        </w:rPr>
      </w:pPr>
    </w:p>
    <w:p w:rsidR="00491391" w:rsidRDefault="00491391" w:rsidP="00CB3592">
      <w:pPr>
        <w:jc w:val="center"/>
        <w:rPr>
          <w:rFonts w:ascii="Times New Roman" w:hAnsi="Times New Roman" w:cs="Times New Roman"/>
          <w:b/>
          <w:lang w:val="en-US"/>
        </w:rPr>
      </w:pPr>
    </w:p>
    <w:p w:rsidR="00491391" w:rsidRDefault="00491391" w:rsidP="00CB3592">
      <w:pPr>
        <w:jc w:val="center"/>
        <w:rPr>
          <w:rFonts w:ascii="Times New Roman" w:hAnsi="Times New Roman" w:cs="Times New Roman"/>
          <w:b/>
          <w:lang w:val="en-US"/>
        </w:rPr>
      </w:pPr>
    </w:p>
    <w:p w:rsidR="00CD5C5A" w:rsidRDefault="00CD5C5A" w:rsidP="00CB3592">
      <w:pPr>
        <w:jc w:val="center"/>
        <w:rPr>
          <w:rFonts w:ascii="Times New Roman" w:hAnsi="Times New Roman" w:cs="Times New Roman"/>
          <w:b/>
          <w:lang w:val="en-US"/>
        </w:rPr>
      </w:pPr>
    </w:p>
    <w:p w:rsidR="00491391" w:rsidRPr="00DF43A8" w:rsidRDefault="00491391" w:rsidP="00CB3592">
      <w:pPr>
        <w:jc w:val="center"/>
        <w:rPr>
          <w:rFonts w:ascii="Times New Roman" w:hAnsi="Times New Roman" w:cs="Times New Roman"/>
          <w:b/>
          <w:lang w:val="en-US"/>
        </w:rPr>
      </w:pPr>
    </w:p>
    <w:p w:rsidR="00CB3592" w:rsidRPr="00A91129" w:rsidRDefault="002B35D5" w:rsidP="00CB3592">
      <w:pPr>
        <w:jc w:val="center"/>
        <w:rPr>
          <w:rFonts w:ascii="Times New Roman" w:hAnsi="Times New Roman" w:cs="Times New Roman"/>
          <w:b/>
          <w:lang w:val="en-US"/>
        </w:rPr>
      </w:pPr>
      <w:r w:rsidRPr="00A91129">
        <w:rPr>
          <w:rFonts w:ascii="Times New Roman" w:hAnsi="Times New Roman" w:cs="Times New Roman"/>
          <w:b/>
          <w:lang w:val="en-US"/>
        </w:rPr>
        <w:lastRenderedPageBreak/>
        <w:t>High level of 2021-2025 initiatives within the strategy implementation</w:t>
      </w:r>
      <w:r w:rsidR="00CB3592" w:rsidRPr="00A91129">
        <w:rPr>
          <w:rFonts w:ascii="Times New Roman" w:hAnsi="Times New Roman" w:cs="Times New Roman"/>
          <w:b/>
          <w:lang w:val="en-US"/>
        </w:rPr>
        <w:t xml:space="preserve"> </w:t>
      </w:r>
      <w:r w:rsidRPr="00A91129">
        <w:rPr>
          <w:rFonts w:ascii="Times New Roman" w:hAnsi="Times New Roman" w:cs="Times New Roman"/>
          <w:b/>
          <w:lang w:val="en-US"/>
        </w:rPr>
        <w:t>"Roadmap"</w:t>
      </w:r>
    </w:p>
    <w:tbl>
      <w:tblPr>
        <w:tblStyle w:val="11"/>
        <w:tblW w:w="10081" w:type="dxa"/>
        <w:tblInd w:w="-14" w:type="dxa"/>
        <w:tblLook w:val="04A0" w:firstRow="1" w:lastRow="0" w:firstColumn="1" w:lastColumn="0" w:noHBand="0" w:noVBand="1"/>
      </w:tblPr>
      <w:tblGrid>
        <w:gridCol w:w="558"/>
        <w:gridCol w:w="1377"/>
        <w:gridCol w:w="1939"/>
        <w:gridCol w:w="278"/>
        <w:gridCol w:w="333"/>
        <w:gridCol w:w="278"/>
        <w:gridCol w:w="333"/>
        <w:gridCol w:w="388"/>
        <w:gridCol w:w="397"/>
        <w:gridCol w:w="278"/>
        <w:gridCol w:w="333"/>
        <w:gridCol w:w="388"/>
        <w:gridCol w:w="397"/>
        <w:gridCol w:w="278"/>
        <w:gridCol w:w="333"/>
        <w:gridCol w:w="388"/>
        <w:gridCol w:w="397"/>
        <w:gridCol w:w="278"/>
        <w:gridCol w:w="333"/>
        <w:gridCol w:w="388"/>
        <w:gridCol w:w="397"/>
        <w:gridCol w:w="12"/>
      </w:tblGrid>
      <w:tr w:rsidR="00352871" w:rsidRPr="00A91129" w:rsidTr="00DF43A8">
        <w:trPr>
          <w:trHeight w:val="161"/>
        </w:trPr>
        <w:tc>
          <w:tcPr>
            <w:tcW w:w="558" w:type="dxa"/>
            <w:vMerge w:val="restart"/>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w:t>
            </w:r>
          </w:p>
        </w:tc>
        <w:tc>
          <w:tcPr>
            <w:tcW w:w="1377" w:type="dxa"/>
            <w:vMerge w:val="restart"/>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Blok</w:t>
            </w:r>
          </w:p>
        </w:tc>
        <w:tc>
          <w:tcPr>
            <w:tcW w:w="1939" w:type="dxa"/>
            <w:vMerge w:val="restart"/>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Initiative</w:t>
            </w:r>
          </w:p>
        </w:tc>
        <w:tc>
          <w:tcPr>
            <w:tcW w:w="611" w:type="dxa"/>
            <w:gridSpan w:val="2"/>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uz-Cyrl-UZ"/>
              </w:rPr>
              <w:t>2021</w:t>
            </w:r>
          </w:p>
        </w:tc>
        <w:tc>
          <w:tcPr>
            <w:tcW w:w="1396" w:type="dxa"/>
            <w:gridSpan w:val="4"/>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uz-Cyrl-UZ"/>
              </w:rPr>
              <w:t>2022</w:t>
            </w:r>
          </w:p>
        </w:tc>
        <w:tc>
          <w:tcPr>
            <w:tcW w:w="1396" w:type="dxa"/>
            <w:gridSpan w:val="4"/>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uz-Cyrl-UZ"/>
              </w:rPr>
              <w:t>2023</w:t>
            </w:r>
          </w:p>
        </w:tc>
        <w:tc>
          <w:tcPr>
            <w:tcW w:w="1396" w:type="dxa"/>
            <w:gridSpan w:val="4"/>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uz-Cyrl-UZ"/>
              </w:rPr>
              <w:t>2024</w:t>
            </w:r>
          </w:p>
        </w:tc>
        <w:tc>
          <w:tcPr>
            <w:tcW w:w="1408" w:type="dxa"/>
            <w:gridSpan w:val="5"/>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uz-Cyrl-UZ"/>
              </w:rPr>
              <w:t>2025</w:t>
            </w:r>
          </w:p>
        </w:tc>
      </w:tr>
      <w:tr w:rsidR="00352871" w:rsidRPr="00A91129" w:rsidTr="00DF43A8">
        <w:trPr>
          <w:gridAfter w:val="1"/>
          <w:wAfter w:w="12" w:type="dxa"/>
          <w:trHeight w:val="174"/>
        </w:trPr>
        <w:tc>
          <w:tcPr>
            <w:tcW w:w="558" w:type="dxa"/>
            <w:vMerge/>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377" w:type="dxa"/>
            <w:vMerge/>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vMerge/>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w:t>
            </w: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II</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w:t>
            </w: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II</w:t>
            </w: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III</w:t>
            </w: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en-US"/>
              </w:rPr>
            </w:pPr>
            <w:r w:rsidRPr="00A91129">
              <w:rPr>
                <w:rFonts w:ascii="Times New Roman" w:eastAsia="Times New Roman" w:hAnsi="Times New Roman"/>
                <w:bCs/>
                <w:sz w:val="16"/>
                <w:szCs w:val="16"/>
                <w:lang w:val="en-US"/>
              </w:rPr>
              <w:t>IV</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w:t>
            </w: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w:t>
            </w: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III</w:t>
            </w: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IV</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w:t>
            </w: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w:t>
            </w: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III</w:t>
            </w: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IV</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w:t>
            </w: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w:t>
            </w: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III</w:t>
            </w: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r w:rsidRPr="00A91129">
              <w:rPr>
                <w:rFonts w:ascii="Times New Roman" w:eastAsia="Times New Roman" w:hAnsi="Times New Roman"/>
                <w:bCs/>
                <w:sz w:val="16"/>
                <w:szCs w:val="16"/>
                <w:lang w:val="en-US"/>
              </w:rPr>
              <w:t>IV</w:t>
            </w:r>
          </w:p>
        </w:tc>
      </w:tr>
      <w:tr w:rsidR="00352871" w:rsidRPr="00237E7C" w:rsidTr="00DF43A8">
        <w:trPr>
          <w:gridAfter w:val="1"/>
          <w:wAfter w:w="12" w:type="dxa"/>
          <w:trHeight w:val="485"/>
        </w:trPr>
        <w:tc>
          <w:tcPr>
            <w:tcW w:w="558" w:type="dxa"/>
            <w:vMerge w:val="restart"/>
            <w:vAlign w:val="center"/>
          </w:tcPr>
          <w:p w:rsidR="00352871"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p>
          <w:p w:rsidR="00352871" w:rsidRPr="00A91129" w:rsidRDefault="00352871" w:rsidP="00352871">
            <w:pPr>
              <w:ind w:left="181"/>
              <w:rPr>
                <w:rFonts w:ascii="Times New Roman" w:hAnsi="Times New Roman"/>
                <w:lang w:val="en-US"/>
              </w:rPr>
            </w:pPr>
          </w:p>
          <w:p w:rsidR="00352871" w:rsidRPr="00A91129" w:rsidRDefault="00352871" w:rsidP="00352871">
            <w:pPr>
              <w:ind w:left="181"/>
              <w:rPr>
                <w:rFonts w:ascii="Times New Roman" w:hAnsi="Times New Roman"/>
                <w:lang w:val="en-US"/>
              </w:rPr>
            </w:pPr>
          </w:p>
          <w:p w:rsidR="00CB3592" w:rsidRPr="00A91129" w:rsidRDefault="00352871" w:rsidP="00352871">
            <w:pPr>
              <w:ind w:left="181"/>
              <w:rPr>
                <w:rFonts w:ascii="Times New Roman" w:hAnsi="Times New Roman"/>
                <w:lang w:val="en-US"/>
              </w:rPr>
            </w:pPr>
            <w:r w:rsidRPr="00A91129">
              <w:rPr>
                <w:rFonts w:ascii="Times New Roman" w:hAnsi="Times New Roman"/>
                <w:lang w:val="en-US"/>
              </w:rPr>
              <w:t>1</w:t>
            </w:r>
          </w:p>
        </w:tc>
        <w:tc>
          <w:tcPr>
            <w:tcW w:w="1377" w:type="dxa"/>
            <w:vMerge w:val="restart"/>
            <w:vAlign w:val="center"/>
          </w:tcPr>
          <w:p w:rsidR="00CB3592" w:rsidRPr="00A91129" w:rsidRDefault="00CB3592" w:rsidP="00894E88">
            <w:pPr>
              <w:widowControl w:val="0"/>
              <w:autoSpaceDE w:val="0"/>
              <w:autoSpaceDN w:val="0"/>
              <w:ind w:right="-43"/>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Product</w:t>
            </w: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a set of transactional business products for small and micro businesses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512"/>
        </w:trPr>
        <w:tc>
          <w:tcPr>
            <w:tcW w:w="558" w:type="dxa"/>
            <w:vMerge/>
            <w:vAlign w:val="center"/>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vAlign w:val="center"/>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a set of transactional business products for medium and corporate businesses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499"/>
        </w:trPr>
        <w:tc>
          <w:tcPr>
            <w:tcW w:w="558" w:type="dxa"/>
            <w:vMerge/>
            <w:vAlign w:val="center"/>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vAlign w:val="center"/>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Update / development of credit products for small and micro businesses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512"/>
        </w:trPr>
        <w:tc>
          <w:tcPr>
            <w:tcW w:w="558" w:type="dxa"/>
            <w:vMerge/>
            <w:vAlign w:val="center"/>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vAlign w:val="center"/>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Update / development of credit products for medium-sized businesses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499"/>
        </w:trPr>
        <w:tc>
          <w:tcPr>
            <w:tcW w:w="558" w:type="dxa"/>
            <w:vMerge/>
            <w:vAlign w:val="center"/>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vAlign w:val="center"/>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a set of transactional business products for individuals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512"/>
        </w:trPr>
        <w:tc>
          <w:tcPr>
            <w:tcW w:w="558" w:type="dxa"/>
            <w:vMerge/>
            <w:vAlign w:val="center"/>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vAlign w:val="center"/>
          </w:tcPr>
          <w:p w:rsidR="00CB3592" w:rsidRPr="00A91129" w:rsidRDefault="00CB3592" w:rsidP="00CB3592">
            <w:pPr>
              <w:widowControl w:val="0"/>
              <w:autoSpaceDE w:val="0"/>
              <w:autoSpaceDN w:val="0"/>
              <w:ind w:right="-43"/>
              <w:jc w:val="center"/>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Update / development of credit products for individuals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323"/>
        </w:trPr>
        <w:tc>
          <w:tcPr>
            <w:tcW w:w="558" w:type="dxa"/>
            <w:vMerge w:val="restart"/>
            <w:vAlign w:val="center"/>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2</w:t>
            </w:r>
          </w:p>
        </w:tc>
        <w:tc>
          <w:tcPr>
            <w:tcW w:w="1377" w:type="dxa"/>
            <w:vMerge w:val="restart"/>
            <w:vAlign w:val="center"/>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Sales channels</w:t>
            </w: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internal banking services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A91129" w:rsidTr="00DF43A8">
        <w:trPr>
          <w:gridAfter w:val="1"/>
          <w:wAfter w:w="12" w:type="dxa"/>
          <w:trHeight w:val="431"/>
        </w:trPr>
        <w:tc>
          <w:tcPr>
            <w:tcW w:w="558" w:type="dxa"/>
            <w:vMerge/>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Improve your mobile app</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A91129" w:rsidTr="00DF43A8">
        <w:trPr>
          <w:gridAfter w:val="1"/>
          <w:wAfter w:w="12" w:type="dxa"/>
          <w:trHeight w:val="174"/>
        </w:trPr>
        <w:tc>
          <w:tcPr>
            <w:tcW w:w="558" w:type="dxa"/>
            <w:vMerge/>
          </w:tcPr>
          <w:p w:rsidR="00CB3592" w:rsidRPr="00A91129" w:rsidRDefault="00CB3592" w:rsidP="00352871">
            <w:pPr>
              <w:widowControl w:val="0"/>
              <w:numPr>
                <w:ilvl w:val="0"/>
                <w:numId w:val="27"/>
              </w:numPr>
              <w:autoSpaceDE w:val="0"/>
              <w:autoSpaceDN w:val="0"/>
              <w:ind w:left="181" w:right="-45"/>
              <w:jc w:val="center"/>
              <w:rPr>
                <w:rFonts w:ascii="Times New Roman" w:eastAsia="Times New Roman" w:hAnsi="Times New Roman"/>
                <w:bCs/>
                <w:noProof/>
                <w:sz w:val="16"/>
                <w:szCs w:val="16"/>
                <w:lang w:val="uz-Cyrl-UZ"/>
              </w:rPr>
            </w:pPr>
          </w:p>
        </w:tc>
        <w:tc>
          <w:tcPr>
            <w:tcW w:w="1377" w:type="dxa"/>
            <w:vMerge/>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Contact center development</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485"/>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3</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noProof/>
                <w:sz w:val="16"/>
                <w:szCs w:val="16"/>
                <w:lang w:val="uz-Cyrl-UZ"/>
              </w:rPr>
            </w:pPr>
            <w:r w:rsidRPr="00A91129">
              <w:rPr>
                <w:rFonts w:ascii="Times New Roman" w:eastAsia="Times New Roman" w:hAnsi="Times New Roman"/>
                <w:noProof/>
                <w:sz w:val="16"/>
                <w:szCs w:val="16"/>
                <w:lang w:val="uz-Cyrl-UZ"/>
              </w:rPr>
              <w:t>Sales and service</w:t>
            </w:r>
          </w:p>
        </w:tc>
        <w:tc>
          <w:tcPr>
            <w:tcW w:w="1939"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noProof/>
                <w:sz w:val="16"/>
                <w:szCs w:val="16"/>
                <w:lang w:val="uz-Cyrl-UZ"/>
              </w:rPr>
              <w:t>Creating a format-service model of sales and service (branches, departments, roles)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A91129" w:rsidTr="00DF43A8">
        <w:trPr>
          <w:gridAfter w:val="1"/>
          <w:wAfter w:w="12" w:type="dxa"/>
          <w:trHeight w:val="371"/>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4</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HR</w:t>
            </w:r>
          </w:p>
        </w:tc>
        <w:tc>
          <w:tcPr>
            <w:tcW w:w="1939" w:type="dxa"/>
          </w:tcPr>
          <w:p w:rsidR="00CB3592" w:rsidRPr="00A91129" w:rsidRDefault="00352871" w:rsidP="00352871">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w:t>
            </w:r>
            <w:r w:rsidR="00CB3592" w:rsidRPr="00A91129">
              <w:rPr>
                <w:rFonts w:ascii="Times New Roman" w:eastAsia="Times New Roman" w:hAnsi="Times New Roman"/>
                <w:bCs/>
                <w:noProof/>
                <w:sz w:val="16"/>
                <w:szCs w:val="16"/>
                <w:lang w:val="uz-Cyrl-UZ"/>
              </w:rPr>
              <w:t xml:space="preserve"> HR function</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323"/>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5</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Finance</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financial management CFO function</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499"/>
        </w:trPr>
        <w:tc>
          <w:tcPr>
            <w:tcW w:w="558" w:type="dxa"/>
          </w:tcPr>
          <w:p w:rsidR="00CB3592" w:rsidRPr="00A91129" w:rsidRDefault="00352871" w:rsidP="00352871">
            <w:pPr>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6</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 xml:space="preserve">Bussines process </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Standardization, centralization and automation of business processes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515"/>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7</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IT</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the IT function</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161"/>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8</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Risks</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the risk function</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323"/>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9</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Internal control and compliance</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internal control and compliance control functions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323"/>
        </w:trPr>
        <w:tc>
          <w:tcPr>
            <w:tcW w:w="558" w:type="dxa"/>
          </w:tcPr>
          <w:p w:rsidR="00CB3592" w:rsidRPr="00A91129" w:rsidRDefault="00352871" w:rsidP="00352871">
            <w:pPr>
              <w:pStyle w:val="a3"/>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10</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ALM and Treasury</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Development of the treasury function</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r w:rsidR="00352871" w:rsidRPr="00237E7C" w:rsidTr="00DF43A8">
        <w:trPr>
          <w:gridAfter w:val="1"/>
          <w:wAfter w:w="12" w:type="dxa"/>
          <w:trHeight w:val="485"/>
        </w:trPr>
        <w:tc>
          <w:tcPr>
            <w:tcW w:w="558" w:type="dxa"/>
          </w:tcPr>
          <w:p w:rsidR="00CB3592" w:rsidRPr="00A91129" w:rsidRDefault="00352871" w:rsidP="00352871">
            <w:pPr>
              <w:widowControl w:val="0"/>
              <w:autoSpaceDE w:val="0"/>
              <w:autoSpaceDN w:val="0"/>
              <w:ind w:left="181" w:right="-45"/>
              <w:rPr>
                <w:rFonts w:ascii="Times New Roman" w:eastAsia="Times New Roman" w:hAnsi="Times New Roman"/>
                <w:bCs/>
                <w:noProof/>
                <w:sz w:val="16"/>
                <w:szCs w:val="16"/>
                <w:lang w:val="en-US"/>
              </w:rPr>
            </w:pPr>
            <w:r w:rsidRPr="00A91129">
              <w:rPr>
                <w:rFonts w:ascii="Times New Roman" w:eastAsia="Times New Roman" w:hAnsi="Times New Roman"/>
                <w:bCs/>
                <w:noProof/>
                <w:sz w:val="16"/>
                <w:szCs w:val="16"/>
                <w:lang w:val="en-US"/>
              </w:rPr>
              <w:t>11</w:t>
            </w:r>
          </w:p>
        </w:tc>
        <w:tc>
          <w:tcPr>
            <w:tcW w:w="1377" w:type="dxa"/>
          </w:tcPr>
          <w:p w:rsidR="00CB3592" w:rsidRPr="00A91129" w:rsidRDefault="00CB3592"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TO</w:t>
            </w:r>
          </w:p>
        </w:tc>
        <w:tc>
          <w:tcPr>
            <w:tcW w:w="1939" w:type="dxa"/>
          </w:tcPr>
          <w:p w:rsidR="00CB3592" w:rsidRPr="00A91129" w:rsidRDefault="00352871" w:rsidP="00CB3592">
            <w:pPr>
              <w:widowControl w:val="0"/>
              <w:autoSpaceDE w:val="0"/>
              <w:autoSpaceDN w:val="0"/>
              <w:ind w:right="-43"/>
              <w:rPr>
                <w:rFonts w:ascii="Times New Roman" w:eastAsia="Times New Roman" w:hAnsi="Times New Roman"/>
                <w:bCs/>
                <w:noProof/>
                <w:sz w:val="16"/>
                <w:szCs w:val="16"/>
                <w:lang w:val="uz-Cyrl-UZ"/>
              </w:rPr>
            </w:pPr>
            <w:r w:rsidRPr="00A91129">
              <w:rPr>
                <w:rFonts w:ascii="Times New Roman" w:eastAsia="Times New Roman" w:hAnsi="Times New Roman"/>
                <w:bCs/>
                <w:noProof/>
                <w:sz w:val="16"/>
                <w:szCs w:val="16"/>
                <w:lang w:val="uz-Cyrl-UZ"/>
              </w:rPr>
              <w:t>Organization of transformation office and coordination of programs</w:t>
            </w:r>
          </w:p>
        </w:tc>
        <w:tc>
          <w:tcPr>
            <w:tcW w:w="278"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27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33"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88" w:type="dxa"/>
            <w:shd w:val="clear" w:color="auto" w:fill="DDD9C3"/>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c>
          <w:tcPr>
            <w:tcW w:w="397" w:type="dxa"/>
          </w:tcPr>
          <w:p w:rsidR="00CB3592" w:rsidRPr="00A91129" w:rsidRDefault="00CB3592" w:rsidP="00CB3592">
            <w:pPr>
              <w:widowControl w:val="0"/>
              <w:autoSpaceDE w:val="0"/>
              <w:autoSpaceDN w:val="0"/>
              <w:ind w:right="-43"/>
              <w:jc w:val="center"/>
              <w:rPr>
                <w:rFonts w:ascii="Times New Roman" w:eastAsia="Times New Roman" w:hAnsi="Times New Roman"/>
                <w:bCs/>
                <w:sz w:val="16"/>
                <w:szCs w:val="16"/>
                <w:lang w:val="uz-Cyrl-UZ"/>
              </w:rPr>
            </w:pPr>
          </w:p>
        </w:tc>
      </w:tr>
    </w:tbl>
    <w:p w:rsidR="002B35D5" w:rsidRPr="00A91129" w:rsidRDefault="002B35D5" w:rsidP="00CB3592">
      <w:pPr>
        <w:rPr>
          <w:rFonts w:ascii="Times New Roman" w:hAnsi="Times New Roman" w:cs="Times New Roman"/>
          <w:lang w:val="az"/>
        </w:rPr>
      </w:pPr>
    </w:p>
    <w:p w:rsidR="00D62A84" w:rsidRDefault="00D62A84"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491391" w:rsidRDefault="00491391" w:rsidP="00352871">
      <w:pPr>
        <w:jc w:val="center"/>
        <w:rPr>
          <w:rFonts w:ascii="Times New Roman" w:hAnsi="Times New Roman" w:cs="Times New Roman"/>
          <w:b/>
          <w:lang w:val="az"/>
        </w:rPr>
      </w:pPr>
    </w:p>
    <w:p w:rsidR="00491391" w:rsidRDefault="00491391"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D62A84" w:rsidRDefault="00D62A84" w:rsidP="00352871">
      <w:pPr>
        <w:jc w:val="center"/>
        <w:rPr>
          <w:rFonts w:ascii="Times New Roman" w:hAnsi="Times New Roman" w:cs="Times New Roman"/>
          <w:b/>
          <w:lang w:val="az"/>
        </w:rPr>
      </w:pPr>
    </w:p>
    <w:p w:rsidR="00352871" w:rsidRPr="00A91129" w:rsidRDefault="00352871" w:rsidP="00352871">
      <w:pPr>
        <w:jc w:val="center"/>
        <w:rPr>
          <w:rFonts w:ascii="Times New Roman" w:hAnsi="Times New Roman" w:cs="Times New Roman"/>
          <w:b/>
          <w:lang w:val="az"/>
        </w:rPr>
      </w:pPr>
      <w:r w:rsidRPr="00A91129">
        <w:rPr>
          <w:rFonts w:ascii="Times New Roman" w:hAnsi="Times New Roman" w:cs="Times New Roman"/>
          <w:b/>
          <w:lang w:val="az"/>
        </w:rPr>
        <w:lastRenderedPageBreak/>
        <w:t>Key financial indicators at the end of strategy implementation</w:t>
      </w:r>
    </w:p>
    <w:tbl>
      <w:tblPr>
        <w:tblStyle w:val="a4"/>
        <w:tblW w:w="0" w:type="auto"/>
        <w:tblLook w:val="04A0" w:firstRow="1" w:lastRow="0" w:firstColumn="1" w:lastColumn="0" w:noHBand="0" w:noVBand="1"/>
      </w:tblPr>
      <w:tblGrid>
        <w:gridCol w:w="601"/>
        <w:gridCol w:w="4356"/>
        <w:gridCol w:w="2043"/>
        <w:gridCol w:w="1548"/>
        <w:gridCol w:w="1505"/>
      </w:tblGrid>
      <w:tr w:rsidR="009A1067" w:rsidRPr="00A91129" w:rsidTr="00D62A84">
        <w:tc>
          <w:tcPr>
            <w:tcW w:w="601" w:type="dxa"/>
          </w:tcPr>
          <w:p w:rsidR="009A1067" w:rsidRPr="00A91129" w:rsidRDefault="009A1067" w:rsidP="009A1067">
            <w:pPr>
              <w:pStyle w:val="TableParagraph"/>
              <w:shd w:val="clear" w:color="auto" w:fill="FFFFFF" w:themeFill="background1"/>
              <w:spacing w:before="2"/>
              <w:ind w:left="22" w:right="166"/>
              <w:jc w:val="right"/>
              <w:rPr>
                <w:b/>
                <w:sz w:val="18"/>
              </w:rPr>
            </w:pPr>
            <w:r w:rsidRPr="00A91129">
              <w:rPr>
                <w:b/>
                <w:sz w:val="18"/>
              </w:rPr>
              <w:t>№</w:t>
            </w:r>
          </w:p>
        </w:tc>
        <w:tc>
          <w:tcPr>
            <w:tcW w:w="4356" w:type="dxa"/>
          </w:tcPr>
          <w:p w:rsidR="009A1067" w:rsidRPr="00A91129" w:rsidRDefault="009A1067" w:rsidP="009A1067">
            <w:pPr>
              <w:pStyle w:val="TableParagraph"/>
              <w:shd w:val="clear" w:color="auto" w:fill="FFFFFF" w:themeFill="background1"/>
              <w:spacing w:before="2"/>
              <w:ind w:left="284" w:right="1905"/>
              <w:jc w:val="center"/>
              <w:rPr>
                <w:b/>
                <w:sz w:val="18"/>
              </w:rPr>
            </w:pPr>
            <w:r w:rsidRPr="00A91129">
              <w:rPr>
                <w:b/>
                <w:sz w:val="18"/>
              </w:rPr>
              <w:t>Indicator name</w:t>
            </w:r>
          </w:p>
        </w:tc>
        <w:tc>
          <w:tcPr>
            <w:tcW w:w="2043" w:type="dxa"/>
          </w:tcPr>
          <w:p w:rsidR="009A1067" w:rsidRPr="00A91129" w:rsidRDefault="009A1067" w:rsidP="009A1067">
            <w:pPr>
              <w:pStyle w:val="TableParagraph"/>
              <w:shd w:val="clear" w:color="auto" w:fill="FFFFFF" w:themeFill="background1"/>
              <w:spacing w:line="206" w:lineRule="exact"/>
              <w:ind w:left="284" w:right="111" w:hanging="70"/>
              <w:rPr>
                <w:b/>
                <w:sz w:val="18"/>
              </w:rPr>
            </w:pPr>
            <w:r w:rsidRPr="00A91129">
              <w:rPr>
                <w:b/>
                <w:sz w:val="18"/>
              </w:rPr>
              <w:t>Unit of easure</w:t>
            </w:r>
          </w:p>
        </w:tc>
        <w:tc>
          <w:tcPr>
            <w:tcW w:w="1548" w:type="dxa"/>
          </w:tcPr>
          <w:p w:rsidR="009A1067" w:rsidRPr="00A91129" w:rsidRDefault="009A1067" w:rsidP="009A1067">
            <w:pPr>
              <w:pStyle w:val="TableParagraph"/>
              <w:shd w:val="clear" w:color="auto" w:fill="FFFFFF" w:themeFill="background1"/>
              <w:spacing w:before="2"/>
              <w:ind w:left="284" w:right="401"/>
              <w:jc w:val="center"/>
              <w:rPr>
                <w:b/>
                <w:sz w:val="18"/>
              </w:rPr>
            </w:pPr>
            <w:r w:rsidRPr="00A91129">
              <w:rPr>
                <w:b/>
                <w:sz w:val="18"/>
              </w:rPr>
              <w:t>2021</w:t>
            </w:r>
            <w:r w:rsidRPr="00A91129">
              <w:rPr>
                <w:b/>
                <w:spacing w:val="-1"/>
                <w:sz w:val="18"/>
              </w:rPr>
              <w:t xml:space="preserve"> </w:t>
            </w:r>
            <w:r w:rsidRPr="00A91129">
              <w:rPr>
                <w:b/>
                <w:sz w:val="18"/>
              </w:rPr>
              <w:t>year</w:t>
            </w:r>
          </w:p>
        </w:tc>
        <w:tc>
          <w:tcPr>
            <w:tcW w:w="1505" w:type="dxa"/>
          </w:tcPr>
          <w:p w:rsidR="009A1067" w:rsidRPr="00A91129" w:rsidRDefault="009A1067" w:rsidP="009A1067">
            <w:pPr>
              <w:pStyle w:val="TableParagraph"/>
              <w:shd w:val="clear" w:color="auto" w:fill="FFFFFF" w:themeFill="background1"/>
              <w:spacing w:before="2"/>
              <w:ind w:left="284" w:right="401"/>
              <w:jc w:val="center"/>
              <w:rPr>
                <w:b/>
                <w:sz w:val="18"/>
              </w:rPr>
            </w:pPr>
            <w:r w:rsidRPr="00A91129">
              <w:rPr>
                <w:b/>
                <w:sz w:val="18"/>
              </w:rPr>
              <w:t>2025</w:t>
            </w:r>
            <w:r w:rsidRPr="00A91129">
              <w:rPr>
                <w:b/>
                <w:spacing w:val="-1"/>
                <w:sz w:val="18"/>
              </w:rPr>
              <w:t xml:space="preserve"> </w:t>
            </w:r>
            <w:r w:rsidRPr="00A91129">
              <w:rPr>
                <w:b/>
                <w:sz w:val="18"/>
              </w:rPr>
              <w:t>year</w:t>
            </w:r>
          </w:p>
        </w:tc>
      </w:tr>
      <w:tr w:rsidR="00DB1FDB" w:rsidRPr="00237E7C" w:rsidTr="008741A3">
        <w:tc>
          <w:tcPr>
            <w:tcW w:w="601" w:type="dxa"/>
          </w:tcPr>
          <w:p w:rsidR="00DB1FDB" w:rsidRPr="00D62A84" w:rsidRDefault="00DB1FDB" w:rsidP="00A91129">
            <w:pPr>
              <w:ind w:left="22" w:hanging="54"/>
              <w:rPr>
                <w:rFonts w:ascii="Times New Roman" w:hAnsi="Times New Roman" w:cs="Times New Roman"/>
                <w:b/>
                <w:sz w:val="18"/>
                <w:szCs w:val="18"/>
                <w:lang w:val="az"/>
              </w:rPr>
            </w:pPr>
            <w:r w:rsidRPr="00D62A84">
              <w:rPr>
                <w:rFonts w:ascii="Times New Roman" w:hAnsi="Times New Roman" w:cs="Times New Roman"/>
                <w:b/>
                <w:sz w:val="18"/>
                <w:szCs w:val="18"/>
                <w:lang w:val="az"/>
              </w:rPr>
              <w:t>1</w:t>
            </w:r>
          </w:p>
        </w:tc>
        <w:tc>
          <w:tcPr>
            <w:tcW w:w="9452" w:type="dxa"/>
            <w:gridSpan w:val="4"/>
            <w:shd w:val="clear" w:color="auto" w:fill="FFFFFF" w:themeFill="background1"/>
          </w:tcPr>
          <w:p w:rsidR="00DB1FDB" w:rsidRPr="00A91129" w:rsidRDefault="00DB1FDB" w:rsidP="00DB1FDB">
            <w:pPr>
              <w:jc w:val="center"/>
              <w:rPr>
                <w:rFonts w:ascii="Times New Roman" w:hAnsi="Times New Roman" w:cs="Times New Roman"/>
                <w:lang w:val="az"/>
              </w:rPr>
            </w:pPr>
            <w:r w:rsidRPr="00A91129">
              <w:rPr>
                <w:rFonts w:ascii="Times New Roman" w:hAnsi="Times New Roman" w:cs="Times New Roman"/>
                <w:b/>
                <w:sz w:val="18"/>
                <w:lang w:val="en-US"/>
              </w:rPr>
              <w:t>Changes in the composition of the bank's loan portfolio</w:t>
            </w:r>
          </w:p>
        </w:tc>
      </w:tr>
      <w:tr w:rsidR="00DB1FDB" w:rsidRPr="00A91129" w:rsidTr="00D62A84">
        <w:tc>
          <w:tcPr>
            <w:tcW w:w="601" w:type="dxa"/>
          </w:tcPr>
          <w:p w:rsidR="00DB1FDB" w:rsidRPr="00D62A84" w:rsidRDefault="00DB1FDB" w:rsidP="00A91129">
            <w:pPr>
              <w:ind w:left="22" w:hanging="54"/>
              <w:rPr>
                <w:rFonts w:ascii="Times New Roman" w:hAnsi="Times New Roman" w:cs="Times New Roman"/>
                <w:b/>
                <w:sz w:val="18"/>
                <w:szCs w:val="18"/>
                <w:lang w:val="az"/>
              </w:rPr>
            </w:pPr>
            <w:r w:rsidRPr="00D62A84">
              <w:rPr>
                <w:rFonts w:ascii="Times New Roman" w:hAnsi="Times New Roman" w:cs="Times New Roman"/>
                <w:b/>
                <w:sz w:val="18"/>
                <w:szCs w:val="18"/>
                <w:lang w:val="az"/>
              </w:rPr>
              <w:t>1.1</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Share of micro and macro business loans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27%</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51%</w:t>
            </w:r>
          </w:p>
        </w:tc>
      </w:tr>
      <w:tr w:rsidR="00DB1FDB" w:rsidRPr="00A91129" w:rsidTr="00D62A84">
        <w:tc>
          <w:tcPr>
            <w:tcW w:w="601" w:type="dxa"/>
          </w:tcPr>
          <w:p w:rsidR="00DB1FDB" w:rsidRPr="00D62A84" w:rsidRDefault="00DB1FDB" w:rsidP="00A91129">
            <w:pPr>
              <w:ind w:left="22" w:hanging="54"/>
              <w:rPr>
                <w:rFonts w:ascii="Times New Roman" w:hAnsi="Times New Roman" w:cs="Times New Roman"/>
                <w:b/>
                <w:sz w:val="18"/>
                <w:szCs w:val="18"/>
                <w:lang w:val="az"/>
              </w:rPr>
            </w:pPr>
            <w:r w:rsidRPr="00D62A84">
              <w:rPr>
                <w:rFonts w:ascii="Times New Roman" w:hAnsi="Times New Roman" w:cs="Times New Roman"/>
                <w:b/>
                <w:sz w:val="18"/>
                <w:szCs w:val="18"/>
                <w:lang w:val="az"/>
              </w:rPr>
              <w:t>1.2</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Share of retail segment loans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30%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23%</w:t>
            </w:r>
          </w:p>
        </w:tc>
      </w:tr>
      <w:tr w:rsidR="00DB1FDB" w:rsidRPr="00A91129" w:rsidTr="00D62A84">
        <w:tc>
          <w:tcPr>
            <w:tcW w:w="601" w:type="dxa"/>
          </w:tcPr>
          <w:p w:rsidR="00DB1FDB" w:rsidRPr="00D62A84" w:rsidRDefault="00DB1FDB" w:rsidP="00A91129">
            <w:pPr>
              <w:ind w:left="22" w:hanging="54"/>
              <w:rPr>
                <w:rFonts w:ascii="Times New Roman" w:hAnsi="Times New Roman" w:cs="Times New Roman"/>
                <w:b/>
                <w:sz w:val="18"/>
                <w:szCs w:val="18"/>
                <w:lang w:val="az"/>
              </w:rPr>
            </w:pPr>
            <w:r w:rsidRPr="00D62A84">
              <w:rPr>
                <w:rFonts w:ascii="Times New Roman" w:hAnsi="Times New Roman" w:cs="Times New Roman"/>
                <w:b/>
                <w:sz w:val="18"/>
                <w:szCs w:val="18"/>
                <w:lang w:val="az"/>
              </w:rPr>
              <w:t>1.3</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Share of medium and corporate business loans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43%</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26%</w:t>
            </w:r>
          </w:p>
        </w:tc>
      </w:tr>
      <w:tr w:rsidR="00DB1FDB" w:rsidRPr="00237E7C" w:rsidTr="00303AA4">
        <w:tc>
          <w:tcPr>
            <w:tcW w:w="601" w:type="dxa"/>
          </w:tcPr>
          <w:p w:rsidR="00DB1FDB" w:rsidRPr="00D62A84" w:rsidRDefault="00DB1FDB" w:rsidP="00A91129">
            <w:pPr>
              <w:ind w:left="22" w:hanging="54"/>
              <w:rPr>
                <w:rFonts w:ascii="Times New Roman" w:hAnsi="Times New Roman" w:cs="Times New Roman"/>
                <w:b/>
                <w:sz w:val="18"/>
                <w:szCs w:val="18"/>
                <w:lang w:val="az"/>
              </w:rPr>
            </w:pPr>
            <w:r w:rsidRPr="00D62A84">
              <w:rPr>
                <w:rFonts w:ascii="Times New Roman" w:hAnsi="Times New Roman" w:cs="Times New Roman"/>
                <w:b/>
                <w:sz w:val="18"/>
                <w:szCs w:val="18"/>
                <w:lang w:val="az"/>
              </w:rPr>
              <w:t>2</w:t>
            </w:r>
          </w:p>
        </w:tc>
        <w:tc>
          <w:tcPr>
            <w:tcW w:w="9452" w:type="dxa"/>
            <w:gridSpan w:val="4"/>
            <w:shd w:val="clear" w:color="auto" w:fill="FFFFFF" w:themeFill="background1"/>
          </w:tcPr>
          <w:p w:rsidR="00DB1FDB" w:rsidRPr="00A91129" w:rsidRDefault="00DB1FDB" w:rsidP="00CD5C5A">
            <w:pPr>
              <w:pStyle w:val="TableParagraph"/>
              <w:shd w:val="clear" w:color="auto" w:fill="FFFFFF" w:themeFill="background1"/>
              <w:ind w:left="256" w:right="400" w:hanging="284"/>
              <w:jc w:val="center"/>
              <w:rPr>
                <w:sz w:val="14"/>
              </w:rPr>
            </w:pPr>
            <w:r w:rsidRPr="00A91129">
              <w:rPr>
                <w:b/>
                <w:sz w:val="18"/>
              </w:rPr>
              <w:t>Market share of the Bank by Segments</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2.1</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Micro- and small 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1,2%</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399"/>
              <w:jc w:val="center"/>
              <w:rPr>
                <w:sz w:val="18"/>
              </w:rPr>
            </w:pPr>
            <w:r w:rsidRPr="00A91129">
              <w:rPr>
                <w:sz w:val="18"/>
              </w:rPr>
              <w:t>2,3%</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2.2</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Retail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5%</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3%</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2.3</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Medium and corporate 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1,9%</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399"/>
              <w:jc w:val="center"/>
              <w:rPr>
                <w:sz w:val="18"/>
              </w:rPr>
            </w:pPr>
            <w:r w:rsidRPr="00A91129">
              <w:rPr>
                <w:sz w:val="18"/>
              </w:rPr>
              <w:t>1,2%</w:t>
            </w:r>
          </w:p>
        </w:tc>
      </w:tr>
      <w:tr w:rsidR="00DB1FDB" w:rsidRPr="00A91129" w:rsidTr="00F97DB7">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w:t>
            </w:r>
          </w:p>
        </w:tc>
        <w:tc>
          <w:tcPr>
            <w:tcW w:w="9452" w:type="dxa"/>
            <w:gridSpan w:val="4"/>
            <w:shd w:val="clear" w:color="auto" w:fill="FFFFFF" w:themeFill="background1"/>
          </w:tcPr>
          <w:p w:rsidR="00DB1FDB" w:rsidRPr="00A91129" w:rsidRDefault="00DB1FDB" w:rsidP="00CD5C5A">
            <w:pPr>
              <w:pStyle w:val="TableParagraph"/>
              <w:shd w:val="clear" w:color="auto" w:fill="FFFFFF" w:themeFill="background1"/>
              <w:ind w:left="256" w:right="400" w:hanging="284"/>
              <w:jc w:val="center"/>
              <w:rPr>
                <w:sz w:val="14"/>
              </w:rPr>
            </w:pPr>
            <w:r w:rsidRPr="00A91129">
              <w:rPr>
                <w:b/>
                <w:sz w:val="18"/>
              </w:rPr>
              <w:t>Main financial indicators</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3.1</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ROA</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1,3%</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399"/>
              <w:jc w:val="center"/>
              <w:rPr>
                <w:sz w:val="18"/>
              </w:rPr>
            </w:pPr>
            <w:r w:rsidRPr="00A91129">
              <w:rPr>
                <w:sz w:val="18"/>
              </w:rPr>
              <w:t>3,5%</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3.2</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9" w:lineRule="exact"/>
              <w:ind w:left="284" w:hanging="284"/>
              <w:rPr>
                <w:sz w:val="18"/>
              </w:rPr>
            </w:pPr>
            <w:r w:rsidRPr="00A91129">
              <w:rPr>
                <w:sz w:val="18"/>
              </w:rPr>
              <w:t>ROE</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9"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9" w:lineRule="exact"/>
              <w:ind w:left="256" w:right="400"/>
              <w:jc w:val="center"/>
              <w:rPr>
                <w:sz w:val="18"/>
              </w:rPr>
            </w:pPr>
            <w:r w:rsidRPr="00A91129">
              <w:rPr>
                <w:sz w:val="18"/>
              </w:rPr>
              <w:t>7,4%</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9" w:lineRule="exact"/>
              <w:ind w:left="284" w:right="401"/>
              <w:jc w:val="center"/>
              <w:rPr>
                <w:sz w:val="18"/>
              </w:rPr>
            </w:pPr>
            <w:r w:rsidRPr="00A91129">
              <w:rPr>
                <w:sz w:val="18"/>
              </w:rPr>
              <w:t>20,1%</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3.3</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 xml:space="preserve">Assets </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billion soums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13</w:t>
            </w:r>
            <w:r w:rsidRPr="00A91129">
              <w:rPr>
                <w:spacing w:val="-1"/>
                <w:sz w:val="18"/>
              </w:rPr>
              <w:t xml:space="preserve"> </w:t>
            </w:r>
            <w:r w:rsidRPr="00A91129">
              <w:rPr>
                <w:sz w:val="18"/>
              </w:rPr>
              <w:t>284</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1"/>
              <w:jc w:val="center"/>
              <w:rPr>
                <w:sz w:val="18"/>
              </w:rPr>
            </w:pPr>
            <w:r w:rsidRPr="00A91129">
              <w:rPr>
                <w:sz w:val="18"/>
              </w:rPr>
              <w:t>23</w:t>
            </w:r>
            <w:r w:rsidRPr="00A91129">
              <w:rPr>
                <w:spacing w:val="-1"/>
                <w:sz w:val="18"/>
              </w:rPr>
              <w:t xml:space="preserve"> </w:t>
            </w:r>
            <w:r w:rsidRPr="00A91129">
              <w:rPr>
                <w:sz w:val="18"/>
              </w:rPr>
              <w:t>884</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3.4</w:t>
            </w:r>
          </w:p>
        </w:tc>
        <w:tc>
          <w:tcPr>
            <w:tcW w:w="4356" w:type="dxa"/>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Capital</w:t>
            </w:r>
          </w:p>
        </w:tc>
        <w:tc>
          <w:tcPr>
            <w:tcW w:w="2043" w:type="dxa"/>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billion soums</w:t>
            </w:r>
          </w:p>
        </w:tc>
        <w:tc>
          <w:tcPr>
            <w:tcW w:w="1548" w:type="dxa"/>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2 338</w:t>
            </w:r>
          </w:p>
        </w:tc>
        <w:tc>
          <w:tcPr>
            <w:tcW w:w="1505" w:type="dxa"/>
          </w:tcPr>
          <w:p w:rsidR="00DB1FDB" w:rsidRPr="00A91129" w:rsidRDefault="00DB1FDB" w:rsidP="00DB1FDB">
            <w:pPr>
              <w:pStyle w:val="TableParagraph"/>
              <w:shd w:val="clear" w:color="auto" w:fill="FFFFFF" w:themeFill="background1"/>
              <w:spacing w:line="188" w:lineRule="exact"/>
              <w:ind w:left="284"/>
              <w:rPr>
                <w:sz w:val="18"/>
              </w:rPr>
            </w:pPr>
            <w:r w:rsidRPr="00A91129">
              <w:rPr>
                <w:sz w:val="18"/>
              </w:rPr>
              <w:t>4 309</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3.5</w:t>
            </w:r>
          </w:p>
        </w:tc>
        <w:tc>
          <w:tcPr>
            <w:tcW w:w="4356" w:type="dxa"/>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Sufficient regulatory capital Coefficient</w:t>
            </w:r>
          </w:p>
        </w:tc>
        <w:tc>
          <w:tcPr>
            <w:tcW w:w="2043" w:type="dxa"/>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16,5%</w:t>
            </w:r>
          </w:p>
        </w:tc>
        <w:tc>
          <w:tcPr>
            <w:tcW w:w="1505" w:type="dxa"/>
          </w:tcPr>
          <w:p w:rsidR="00DB1FDB" w:rsidRPr="00A91129" w:rsidRDefault="00DB1FDB" w:rsidP="00DB1FDB">
            <w:pPr>
              <w:pStyle w:val="TableParagraph"/>
              <w:shd w:val="clear" w:color="auto" w:fill="FFFFFF" w:themeFill="background1"/>
              <w:spacing w:line="186" w:lineRule="exact"/>
              <w:ind w:left="284"/>
              <w:rPr>
                <w:sz w:val="18"/>
              </w:rPr>
            </w:pPr>
            <w:r w:rsidRPr="00A91129">
              <w:rPr>
                <w:sz w:val="18"/>
              </w:rPr>
              <w:t>17,1%</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3.6</w:t>
            </w:r>
          </w:p>
        </w:tc>
        <w:tc>
          <w:tcPr>
            <w:tcW w:w="4356" w:type="dxa"/>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Net interest margin</w:t>
            </w:r>
          </w:p>
        </w:tc>
        <w:tc>
          <w:tcPr>
            <w:tcW w:w="2043" w:type="dxa"/>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5,7%</w:t>
            </w:r>
          </w:p>
        </w:tc>
        <w:tc>
          <w:tcPr>
            <w:tcW w:w="1505" w:type="dxa"/>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7%</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3.7</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 xml:space="preserve">Interest-bearing assets </w:t>
            </w:r>
          </w:p>
        </w:tc>
        <w:tc>
          <w:tcPr>
            <w:tcW w:w="2043" w:type="dxa"/>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billion soums</w:t>
            </w:r>
          </w:p>
        </w:tc>
        <w:tc>
          <w:tcPr>
            <w:tcW w:w="1548" w:type="dxa"/>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12</w:t>
            </w:r>
            <w:r w:rsidRPr="00A91129">
              <w:rPr>
                <w:spacing w:val="-1"/>
                <w:sz w:val="18"/>
              </w:rPr>
              <w:t xml:space="preserve"> </w:t>
            </w:r>
            <w:r w:rsidRPr="00A91129">
              <w:rPr>
                <w:sz w:val="18"/>
              </w:rPr>
              <w:t>374</w:t>
            </w:r>
          </w:p>
        </w:tc>
        <w:tc>
          <w:tcPr>
            <w:tcW w:w="1505" w:type="dxa"/>
          </w:tcPr>
          <w:p w:rsidR="00DB1FDB" w:rsidRPr="00A91129" w:rsidRDefault="00DB1FDB" w:rsidP="00DB1FDB">
            <w:pPr>
              <w:pStyle w:val="TableParagraph"/>
              <w:shd w:val="clear" w:color="auto" w:fill="FFFFFF" w:themeFill="background1"/>
              <w:spacing w:line="186" w:lineRule="exact"/>
              <w:ind w:left="284"/>
              <w:rPr>
                <w:sz w:val="18"/>
              </w:rPr>
            </w:pPr>
            <w:r w:rsidRPr="00A91129">
              <w:rPr>
                <w:sz w:val="18"/>
              </w:rPr>
              <w:t>22</w:t>
            </w:r>
            <w:r w:rsidRPr="00A91129">
              <w:rPr>
                <w:spacing w:val="-1"/>
                <w:sz w:val="18"/>
              </w:rPr>
              <w:t xml:space="preserve"> </w:t>
            </w:r>
            <w:r w:rsidRPr="00A91129">
              <w:rPr>
                <w:sz w:val="18"/>
              </w:rPr>
              <w:t>271</w:t>
            </w:r>
          </w:p>
        </w:tc>
      </w:tr>
      <w:tr w:rsidR="00DB1FDB" w:rsidRPr="00237E7C" w:rsidTr="00F673F8">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4</w:t>
            </w:r>
          </w:p>
        </w:tc>
        <w:tc>
          <w:tcPr>
            <w:tcW w:w="9452" w:type="dxa"/>
            <w:gridSpan w:val="4"/>
            <w:shd w:val="clear" w:color="auto" w:fill="FFFFFF" w:themeFill="background1"/>
          </w:tcPr>
          <w:p w:rsidR="00DB1FDB" w:rsidRPr="00A91129" w:rsidRDefault="00DB1FDB" w:rsidP="00CD5C5A">
            <w:pPr>
              <w:pStyle w:val="TableParagraph"/>
              <w:shd w:val="clear" w:color="auto" w:fill="FFFFFF" w:themeFill="background1"/>
              <w:ind w:left="256" w:right="400" w:hanging="284"/>
              <w:jc w:val="center"/>
              <w:rPr>
                <w:sz w:val="14"/>
              </w:rPr>
            </w:pPr>
            <w:r w:rsidRPr="00A91129">
              <w:rPr>
                <w:b/>
                <w:sz w:val="18"/>
              </w:rPr>
              <w:t>Indicator of increase in the number of debtors by segments</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4.1</w:t>
            </w:r>
          </w:p>
        </w:tc>
        <w:tc>
          <w:tcPr>
            <w:tcW w:w="4356" w:type="dxa"/>
          </w:tcPr>
          <w:p w:rsidR="00DB1FDB" w:rsidRPr="00A91129" w:rsidRDefault="00237E7C" w:rsidP="00A91129">
            <w:pPr>
              <w:pStyle w:val="TableParagraph"/>
              <w:shd w:val="clear" w:color="auto" w:fill="FFFFFF" w:themeFill="background1"/>
              <w:spacing w:line="188" w:lineRule="exact"/>
              <w:ind w:left="284" w:hanging="284"/>
              <w:rPr>
                <w:sz w:val="18"/>
              </w:rPr>
            </w:pPr>
            <w:r>
              <w:rPr>
                <w:sz w:val="18"/>
              </w:rPr>
              <w:t>M</w:t>
            </w:r>
            <w:r w:rsidR="00DB1FDB" w:rsidRPr="00A91129">
              <w:rPr>
                <w:sz w:val="18"/>
              </w:rPr>
              <w:t>icro-business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sz w:val="18"/>
              </w:rPr>
              <w:t>thousand customers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78</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1"/>
              <w:jc w:val="center"/>
              <w:rPr>
                <w:sz w:val="18"/>
              </w:rPr>
            </w:pPr>
            <w:r w:rsidRPr="00A91129">
              <w:rPr>
                <w:sz w:val="18"/>
              </w:rPr>
              <w:t>163</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4.2</w:t>
            </w:r>
          </w:p>
        </w:tc>
        <w:tc>
          <w:tcPr>
            <w:tcW w:w="4356" w:type="dxa"/>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Small business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thousand customers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2 497</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Pr>
                <w:sz w:val="18"/>
              </w:rPr>
            </w:pPr>
            <w:r w:rsidRPr="00A91129">
              <w:rPr>
                <w:sz w:val="18"/>
              </w:rPr>
              <w:t>5 578</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4.3</w:t>
            </w:r>
          </w:p>
        </w:tc>
        <w:tc>
          <w:tcPr>
            <w:tcW w:w="4356" w:type="dxa"/>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Retail Business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sz w:val="18"/>
              </w:rPr>
              <w:t>thousand customers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786</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1"/>
              <w:jc w:val="center"/>
              <w:rPr>
                <w:sz w:val="18"/>
              </w:rPr>
            </w:pPr>
            <w:r w:rsidRPr="00A91129">
              <w:rPr>
                <w:sz w:val="18"/>
              </w:rPr>
              <w:t>993</w:t>
            </w:r>
          </w:p>
        </w:tc>
      </w:tr>
      <w:tr w:rsidR="00DB1FDB"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4.4</w:t>
            </w:r>
          </w:p>
        </w:tc>
        <w:tc>
          <w:tcPr>
            <w:tcW w:w="4356" w:type="dxa"/>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Medium and corporate business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thousand customers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638</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1"/>
              <w:jc w:val="center"/>
              <w:rPr>
                <w:sz w:val="18"/>
              </w:rPr>
            </w:pPr>
            <w:r w:rsidRPr="00A91129">
              <w:rPr>
                <w:sz w:val="18"/>
              </w:rPr>
              <w:t>661</w:t>
            </w:r>
          </w:p>
        </w:tc>
      </w:tr>
      <w:tr w:rsidR="00DB1FDB" w:rsidRPr="00237E7C" w:rsidTr="00D87457">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w:t>
            </w:r>
          </w:p>
        </w:tc>
        <w:tc>
          <w:tcPr>
            <w:tcW w:w="9452" w:type="dxa"/>
            <w:gridSpan w:val="4"/>
            <w:shd w:val="clear" w:color="auto" w:fill="FFFFFF" w:themeFill="background1"/>
          </w:tcPr>
          <w:p w:rsidR="00DB1FDB" w:rsidRPr="00A91129" w:rsidRDefault="00DB1FDB" w:rsidP="00CD5C5A">
            <w:pPr>
              <w:pStyle w:val="TableParagraph"/>
              <w:shd w:val="clear" w:color="auto" w:fill="FFFFFF" w:themeFill="background1"/>
              <w:ind w:left="256" w:right="400" w:hanging="284"/>
              <w:jc w:val="center"/>
              <w:rPr>
                <w:sz w:val="14"/>
              </w:rPr>
            </w:pPr>
            <w:r w:rsidRPr="00A91129">
              <w:rPr>
                <w:b/>
                <w:sz w:val="18"/>
              </w:rPr>
              <w:t>Projected loan portfolio by segments</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5.1</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Retail segment</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30%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23%</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5.2</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Micro-business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17%</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31%</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5.3</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Small 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10%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19%</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5.4</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Medium 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10%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6%</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5.5</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Corporate business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33%</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20%</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5.6</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МКТ</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2%</w:t>
            </w:r>
          </w:p>
        </w:tc>
      </w:tr>
      <w:tr w:rsidR="00DB1FDB" w:rsidRPr="00237E7C" w:rsidTr="00A55FA1">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6</w:t>
            </w:r>
          </w:p>
        </w:tc>
        <w:tc>
          <w:tcPr>
            <w:tcW w:w="9452" w:type="dxa"/>
            <w:gridSpan w:val="4"/>
            <w:shd w:val="clear" w:color="auto" w:fill="FFFFFF" w:themeFill="background1"/>
          </w:tcPr>
          <w:p w:rsidR="00DB1FDB" w:rsidRPr="00A91129" w:rsidRDefault="00DB1FDB" w:rsidP="00CD5C5A">
            <w:pPr>
              <w:ind w:left="256" w:right="400" w:hanging="284"/>
              <w:jc w:val="center"/>
              <w:rPr>
                <w:rFonts w:ascii="Times New Roman" w:hAnsi="Times New Roman" w:cs="Times New Roman"/>
                <w:lang w:val="az"/>
              </w:rPr>
            </w:pPr>
            <w:r w:rsidRPr="00A91129">
              <w:rPr>
                <w:rFonts w:ascii="Times New Roman" w:hAnsi="Times New Roman" w:cs="Times New Roman"/>
                <w:b/>
                <w:sz w:val="18"/>
                <w:lang w:val="en-US"/>
              </w:rPr>
              <w:t>Projected loan portfolio from savings sources</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6.1</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State programs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35%</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18%</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6.2</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6" w:lineRule="exact"/>
              <w:ind w:left="284" w:hanging="284"/>
              <w:rPr>
                <w:sz w:val="18"/>
              </w:rPr>
            </w:pPr>
            <w:r w:rsidRPr="00A91129">
              <w:rPr>
                <w:sz w:val="18"/>
              </w:rPr>
              <w:t>Commercial loans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61%</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0"/>
              <w:jc w:val="center"/>
              <w:rPr>
                <w:sz w:val="18"/>
              </w:rPr>
            </w:pPr>
            <w:r w:rsidRPr="00A91129">
              <w:rPr>
                <w:sz w:val="18"/>
              </w:rPr>
              <w:t>81%</w:t>
            </w:r>
          </w:p>
        </w:tc>
      </w:tr>
      <w:tr w:rsidR="00D62A84" w:rsidRPr="00A91129" w:rsidTr="00D62A84">
        <w:tc>
          <w:tcPr>
            <w:tcW w:w="601" w:type="dxa"/>
          </w:tcPr>
          <w:p w:rsidR="00DB1FDB" w:rsidRPr="00D62A84" w:rsidRDefault="00DB1FDB"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6.3</w:t>
            </w:r>
          </w:p>
        </w:tc>
        <w:tc>
          <w:tcPr>
            <w:tcW w:w="4356" w:type="dxa"/>
            <w:shd w:val="clear" w:color="auto" w:fill="FFFFFF" w:themeFill="background1"/>
          </w:tcPr>
          <w:p w:rsidR="00DB1FDB" w:rsidRPr="00A91129" w:rsidRDefault="00DB1FDB" w:rsidP="00A91129">
            <w:pPr>
              <w:pStyle w:val="TableParagraph"/>
              <w:shd w:val="clear" w:color="auto" w:fill="FFFFFF" w:themeFill="background1"/>
              <w:spacing w:line="188" w:lineRule="exact"/>
              <w:ind w:left="284" w:hanging="284"/>
              <w:rPr>
                <w:sz w:val="18"/>
              </w:rPr>
            </w:pPr>
            <w:r w:rsidRPr="00A91129">
              <w:rPr>
                <w:sz w:val="18"/>
              </w:rPr>
              <w:t>Non-consolidated preferential loans</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jc w:val="center"/>
              <w:rPr>
                <w:sz w:val="18"/>
              </w:rPr>
            </w:pPr>
            <w:r w:rsidRPr="00A91129">
              <w:rPr>
                <w:w w:val="99"/>
                <w:sz w:val="18"/>
              </w:rPr>
              <w:t>%</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8" w:lineRule="exact"/>
              <w:ind w:left="256" w:right="400"/>
              <w:jc w:val="center"/>
              <w:rPr>
                <w:sz w:val="18"/>
              </w:rPr>
            </w:pPr>
            <w:r w:rsidRPr="00A91129">
              <w:rPr>
                <w:sz w:val="18"/>
              </w:rPr>
              <w:t>4%</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8" w:lineRule="exact"/>
              <w:ind w:left="284" w:right="400"/>
              <w:jc w:val="center"/>
              <w:rPr>
                <w:sz w:val="18"/>
              </w:rPr>
            </w:pPr>
            <w:r w:rsidRPr="00A91129">
              <w:rPr>
                <w:sz w:val="18"/>
              </w:rPr>
              <w:t>1%</w:t>
            </w:r>
          </w:p>
        </w:tc>
      </w:tr>
      <w:tr w:rsidR="00D62A84" w:rsidRPr="00A91129" w:rsidTr="00D62A84">
        <w:tc>
          <w:tcPr>
            <w:tcW w:w="601" w:type="dxa"/>
          </w:tcPr>
          <w:p w:rsidR="00DB1FDB" w:rsidRPr="00D62A84" w:rsidRDefault="00F42114" w:rsidP="00DB1FDB">
            <w:pPr>
              <w:rPr>
                <w:rFonts w:ascii="Times New Roman" w:hAnsi="Times New Roman" w:cs="Times New Roman"/>
                <w:b/>
                <w:sz w:val="18"/>
                <w:szCs w:val="18"/>
                <w:lang w:val="az"/>
              </w:rPr>
            </w:pPr>
            <w:r w:rsidRPr="00D62A84">
              <w:rPr>
                <w:rFonts w:ascii="Times New Roman" w:hAnsi="Times New Roman" w:cs="Times New Roman"/>
                <w:b/>
                <w:sz w:val="18"/>
                <w:szCs w:val="18"/>
                <w:lang w:val="az"/>
              </w:rPr>
              <w:t>7</w:t>
            </w:r>
          </w:p>
        </w:tc>
        <w:tc>
          <w:tcPr>
            <w:tcW w:w="4356" w:type="dxa"/>
            <w:shd w:val="clear" w:color="auto" w:fill="FFFFFF" w:themeFill="background1"/>
          </w:tcPr>
          <w:p w:rsidR="00DB1FDB" w:rsidRPr="00A91129" w:rsidRDefault="00DB1FDB" w:rsidP="00D62A84">
            <w:pPr>
              <w:pStyle w:val="TableParagraph"/>
              <w:shd w:val="clear" w:color="auto" w:fill="FFFFFF" w:themeFill="background1"/>
              <w:spacing w:line="187" w:lineRule="exact"/>
              <w:ind w:left="-10"/>
              <w:rPr>
                <w:b/>
                <w:sz w:val="18"/>
              </w:rPr>
            </w:pPr>
            <w:r w:rsidRPr="00A91129">
              <w:rPr>
                <w:b/>
                <w:sz w:val="18"/>
              </w:rPr>
              <w:t>NPL share in gross portfolio</w:t>
            </w:r>
          </w:p>
        </w:tc>
        <w:tc>
          <w:tcPr>
            <w:tcW w:w="2043"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jc w:val="center"/>
              <w:rPr>
                <w:sz w:val="18"/>
              </w:rPr>
            </w:pPr>
            <w:r w:rsidRPr="00A91129">
              <w:rPr>
                <w:sz w:val="18"/>
              </w:rPr>
              <w:t>billion soums</w:t>
            </w:r>
          </w:p>
        </w:tc>
        <w:tc>
          <w:tcPr>
            <w:tcW w:w="1548" w:type="dxa"/>
            <w:shd w:val="clear" w:color="auto" w:fill="FFFFFF" w:themeFill="background1"/>
          </w:tcPr>
          <w:p w:rsidR="00DB1FDB" w:rsidRPr="00A91129" w:rsidRDefault="00DB1FDB" w:rsidP="00CD5C5A">
            <w:pPr>
              <w:pStyle w:val="TableParagraph"/>
              <w:shd w:val="clear" w:color="auto" w:fill="FFFFFF" w:themeFill="background1"/>
              <w:spacing w:line="186" w:lineRule="exact"/>
              <w:ind w:left="256" w:right="400"/>
              <w:jc w:val="center"/>
              <w:rPr>
                <w:sz w:val="18"/>
              </w:rPr>
            </w:pPr>
            <w:r w:rsidRPr="00A91129">
              <w:rPr>
                <w:sz w:val="18"/>
              </w:rPr>
              <w:t>210</w:t>
            </w:r>
          </w:p>
        </w:tc>
        <w:tc>
          <w:tcPr>
            <w:tcW w:w="1505" w:type="dxa"/>
            <w:shd w:val="clear" w:color="auto" w:fill="FFFFFF" w:themeFill="background1"/>
          </w:tcPr>
          <w:p w:rsidR="00DB1FDB" w:rsidRPr="00A91129" w:rsidRDefault="00DB1FDB" w:rsidP="00DB1FDB">
            <w:pPr>
              <w:pStyle w:val="TableParagraph"/>
              <w:shd w:val="clear" w:color="auto" w:fill="FFFFFF" w:themeFill="background1"/>
              <w:spacing w:line="186" w:lineRule="exact"/>
              <w:ind w:left="284" w:right="401"/>
              <w:jc w:val="center"/>
              <w:rPr>
                <w:sz w:val="18"/>
              </w:rPr>
            </w:pPr>
            <w:r w:rsidRPr="00A91129">
              <w:rPr>
                <w:sz w:val="18"/>
              </w:rPr>
              <w:t>983</w:t>
            </w:r>
          </w:p>
        </w:tc>
      </w:tr>
      <w:tr w:rsidR="00A91129" w:rsidRPr="00A91129" w:rsidTr="00DA02AC">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8</w:t>
            </w:r>
          </w:p>
        </w:tc>
        <w:tc>
          <w:tcPr>
            <w:tcW w:w="9452" w:type="dxa"/>
            <w:gridSpan w:val="4"/>
            <w:shd w:val="clear" w:color="auto" w:fill="FFFFFF" w:themeFill="background1"/>
          </w:tcPr>
          <w:p w:rsidR="00A91129" w:rsidRPr="00A91129" w:rsidRDefault="00A91129" w:rsidP="00CD5C5A">
            <w:pPr>
              <w:ind w:left="256" w:right="400"/>
              <w:jc w:val="center"/>
              <w:rPr>
                <w:rFonts w:ascii="Times New Roman" w:hAnsi="Times New Roman" w:cs="Times New Roman"/>
                <w:b/>
                <w:sz w:val="18"/>
                <w:szCs w:val="18"/>
              </w:rPr>
            </w:pPr>
            <w:proofErr w:type="spellStart"/>
            <w:r w:rsidRPr="00A91129">
              <w:rPr>
                <w:rFonts w:ascii="Times New Roman" w:hAnsi="Times New Roman" w:cs="Times New Roman"/>
                <w:b/>
                <w:sz w:val="18"/>
                <w:szCs w:val="18"/>
              </w:rPr>
              <w:t>Composition</w:t>
            </w:r>
            <w:proofErr w:type="spellEnd"/>
            <w:r w:rsidRPr="00A91129">
              <w:rPr>
                <w:rFonts w:ascii="Times New Roman" w:hAnsi="Times New Roman" w:cs="Times New Roman"/>
                <w:b/>
                <w:sz w:val="18"/>
                <w:szCs w:val="18"/>
              </w:rPr>
              <w:t xml:space="preserve"> </w:t>
            </w:r>
            <w:proofErr w:type="spellStart"/>
            <w:r w:rsidRPr="00A91129">
              <w:rPr>
                <w:rFonts w:ascii="Times New Roman" w:hAnsi="Times New Roman" w:cs="Times New Roman"/>
                <w:b/>
                <w:sz w:val="18"/>
                <w:szCs w:val="18"/>
              </w:rPr>
              <w:t>of</w:t>
            </w:r>
            <w:proofErr w:type="spellEnd"/>
            <w:r w:rsidRPr="00A91129">
              <w:rPr>
                <w:rFonts w:ascii="Times New Roman" w:hAnsi="Times New Roman" w:cs="Times New Roman"/>
                <w:b/>
                <w:sz w:val="18"/>
                <w:szCs w:val="18"/>
              </w:rPr>
              <w:t xml:space="preserve"> </w:t>
            </w:r>
            <w:proofErr w:type="spellStart"/>
            <w:r w:rsidRPr="00A91129">
              <w:rPr>
                <w:rFonts w:ascii="Times New Roman" w:hAnsi="Times New Roman" w:cs="Times New Roman"/>
                <w:b/>
                <w:sz w:val="18"/>
                <w:szCs w:val="18"/>
              </w:rPr>
              <w:t>assets</w:t>
            </w:r>
            <w:proofErr w:type="spellEnd"/>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8.1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proofErr w:type="spellStart"/>
            <w:r w:rsidRPr="00A91129">
              <w:rPr>
                <w:rFonts w:ascii="Times New Roman" w:hAnsi="Times New Roman" w:cs="Times New Roman"/>
                <w:sz w:val="18"/>
                <w:szCs w:val="18"/>
              </w:rPr>
              <w:t>Loan</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portfolio</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80%</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80%</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8.2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Liquid assets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15%</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16%</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8.3</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Fixed assets and other assets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5%</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4%</w:t>
            </w:r>
          </w:p>
        </w:tc>
      </w:tr>
      <w:tr w:rsidR="00A91129" w:rsidRPr="00A91129" w:rsidTr="00D230D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w:t>
            </w:r>
          </w:p>
        </w:tc>
        <w:tc>
          <w:tcPr>
            <w:tcW w:w="9452" w:type="dxa"/>
            <w:gridSpan w:val="4"/>
            <w:shd w:val="clear" w:color="auto" w:fill="FFFFFF" w:themeFill="background1"/>
          </w:tcPr>
          <w:p w:rsidR="00A91129" w:rsidRPr="00A91129" w:rsidRDefault="00A91129" w:rsidP="00CD5C5A">
            <w:pPr>
              <w:ind w:left="256" w:right="400"/>
              <w:jc w:val="center"/>
              <w:rPr>
                <w:rFonts w:ascii="Times New Roman" w:hAnsi="Times New Roman" w:cs="Times New Roman"/>
                <w:b/>
                <w:sz w:val="18"/>
                <w:szCs w:val="18"/>
                <w:lang w:val="en-US"/>
              </w:rPr>
            </w:pPr>
            <w:r w:rsidRPr="00A91129">
              <w:rPr>
                <w:rFonts w:ascii="Times New Roman" w:hAnsi="Times New Roman" w:cs="Times New Roman"/>
                <w:b/>
                <w:sz w:val="18"/>
                <w:szCs w:val="18"/>
                <w:lang w:val="en-US"/>
              </w:rPr>
              <w:t>Composition of obligations</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r w:rsidRPr="00A91129">
              <w:rPr>
                <w:rFonts w:ascii="Times New Roman" w:hAnsi="Times New Roman" w:cs="Times New Roman"/>
                <w:sz w:val="18"/>
                <w:szCs w:val="18"/>
                <w:lang w:val="en-US"/>
              </w:rPr>
              <w:t xml:space="preserve">Customer Deposits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33%</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51%</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Debt instruments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54%</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29%</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9.3</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Eurobonds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w w:val="99"/>
                <w:sz w:val="18"/>
                <w:szCs w:val="18"/>
              </w:rPr>
              <w:t>-</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11%</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9.4</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Other banking instruments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10%</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7%</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9.5</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r w:rsidRPr="00A91129">
              <w:rPr>
                <w:rFonts w:ascii="Times New Roman" w:hAnsi="Times New Roman" w:cs="Times New Roman"/>
                <w:sz w:val="18"/>
                <w:szCs w:val="18"/>
                <w:lang w:val="en-US"/>
              </w:rPr>
              <w:t xml:space="preserve">Other obligations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3%</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2%</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10</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LDR (loan to deposit ratio)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307%</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620"/>
              <w:rPr>
                <w:sz w:val="18"/>
                <w:szCs w:val="18"/>
              </w:rPr>
            </w:pPr>
            <w:r w:rsidRPr="00A91129">
              <w:rPr>
                <w:sz w:val="18"/>
                <w:szCs w:val="18"/>
              </w:rPr>
              <w:t>192%</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Debt to Equity (ratio of debt capital and private capital)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4,7%</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399"/>
              <w:jc w:val="center"/>
              <w:rPr>
                <w:sz w:val="18"/>
                <w:szCs w:val="18"/>
              </w:rPr>
            </w:pPr>
            <w:r w:rsidRPr="00A91129">
              <w:rPr>
                <w:sz w:val="18"/>
                <w:szCs w:val="18"/>
              </w:rPr>
              <w:t>4,5%</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Bank's interest income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2"/>
              <w:jc w:val="center"/>
              <w:rPr>
                <w:sz w:val="18"/>
                <w:szCs w:val="18"/>
              </w:rPr>
            </w:pPr>
            <w:r w:rsidRPr="00A91129">
              <w:rPr>
                <w:sz w:val="18"/>
                <w:szCs w:val="18"/>
              </w:rPr>
              <w:t>billion soums</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1 492</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627"/>
              <w:rPr>
                <w:sz w:val="18"/>
                <w:szCs w:val="18"/>
              </w:rPr>
            </w:pPr>
            <w:r w:rsidRPr="00A91129">
              <w:rPr>
                <w:sz w:val="18"/>
                <w:szCs w:val="18"/>
              </w:rPr>
              <w:t>2 997</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proofErr w:type="spellStart"/>
            <w:r w:rsidRPr="00A91129">
              <w:rPr>
                <w:rFonts w:ascii="Times New Roman" w:hAnsi="Times New Roman" w:cs="Times New Roman"/>
                <w:sz w:val="18"/>
                <w:szCs w:val="18"/>
              </w:rPr>
              <w:t>Percentage</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income</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composition</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ind w:left="256" w:right="400"/>
              <w:rPr>
                <w:sz w:val="18"/>
                <w:szCs w:val="18"/>
              </w:rPr>
            </w:pPr>
          </w:p>
        </w:tc>
        <w:tc>
          <w:tcPr>
            <w:tcW w:w="1505" w:type="dxa"/>
            <w:shd w:val="clear" w:color="auto" w:fill="FFFFFF" w:themeFill="background1"/>
          </w:tcPr>
          <w:p w:rsidR="00A91129" w:rsidRPr="00A91129" w:rsidRDefault="00A91129" w:rsidP="00A91129">
            <w:pPr>
              <w:pStyle w:val="TableParagraph"/>
              <w:shd w:val="clear" w:color="auto" w:fill="FFFFFF" w:themeFill="background1"/>
              <w:rPr>
                <w:sz w:val="18"/>
                <w:szCs w:val="18"/>
              </w:rPr>
            </w:pP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proofErr w:type="spellStart"/>
            <w:r w:rsidRPr="00A91129">
              <w:rPr>
                <w:rFonts w:ascii="Times New Roman" w:hAnsi="Times New Roman" w:cs="Times New Roman"/>
                <w:sz w:val="18"/>
                <w:szCs w:val="18"/>
              </w:rPr>
              <w:t>Interest</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on</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deposits</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38%</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47%</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proofErr w:type="spellStart"/>
            <w:r w:rsidRPr="00A91129">
              <w:rPr>
                <w:rFonts w:ascii="Times New Roman" w:hAnsi="Times New Roman" w:cs="Times New Roman"/>
                <w:sz w:val="18"/>
                <w:szCs w:val="18"/>
              </w:rPr>
              <w:t>Interest</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on</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debt</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instruments</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43%</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27%</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13.3</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Interest expenses on issued securities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w w:val="99"/>
                <w:sz w:val="18"/>
                <w:szCs w:val="18"/>
              </w:rPr>
              <w:t>-</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18%</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13.4</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Interest expenses on payments to other banks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19%</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5%</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13.5</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Interest on MKT loan funds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w w:val="99"/>
                <w:sz w:val="18"/>
                <w:szCs w:val="18"/>
              </w:rPr>
              <w:t>-</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1%</w:t>
            </w:r>
          </w:p>
        </w:tc>
      </w:tr>
      <w:tr w:rsidR="00A91129" w:rsidRPr="00237E7C"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14</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Composition of non-interest income</w:t>
            </w:r>
          </w:p>
        </w:tc>
        <w:tc>
          <w:tcPr>
            <w:tcW w:w="2043" w:type="dxa"/>
            <w:shd w:val="clear" w:color="auto" w:fill="FFFFFF" w:themeFill="background1"/>
          </w:tcPr>
          <w:p w:rsidR="00A91129" w:rsidRPr="00A91129" w:rsidRDefault="00A91129" w:rsidP="00A91129">
            <w:pPr>
              <w:pStyle w:val="TableParagraph"/>
              <w:shd w:val="clear" w:color="auto" w:fill="FFFFFF" w:themeFill="background1"/>
              <w:rPr>
                <w:sz w:val="18"/>
                <w:szCs w:val="18"/>
              </w:rPr>
            </w:pPr>
          </w:p>
        </w:tc>
        <w:tc>
          <w:tcPr>
            <w:tcW w:w="1548" w:type="dxa"/>
            <w:shd w:val="clear" w:color="auto" w:fill="FFFFFF" w:themeFill="background1"/>
          </w:tcPr>
          <w:p w:rsidR="00A91129" w:rsidRPr="00A91129" w:rsidRDefault="00A91129" w:rsidP="00CD5C5A">
            <w:pPr>
              <w:pStyle w:val="TableParagraph"/>
              <w:shd w:val="clear" w:color="auto" w:fill="FFFFFF" w:themeFill="background1"/>
              <w:ind w:left="256" w:right="400"/>
              <w:rPr>
                <w:sz w:val="18"/>
                <w:szCs w:val="18"/>
              </w:rPr>
            </w:pPr>
          </w:p>
        </w:tc>
        <w:tc>
          <w:tcPr>
            <w:tcW w:w="1505" w:type="dxa"/>
            <w:shd w:val="clear" w:color="auto" w:fill="FFFFFF" w:themeFill="background1"/>
          </w:tcPr>
          <w:p w:rsidR="00A91129" w:rsidRPr="00A91129" w:rsidRDefault="00A91129" w:rsidP="00A91129">
            <w:pPr>
              <w:pStyle w:val="TableParagraph"/>
              <w:shd w:val="clear" w:color="auto" w:fill="FFFFFF" w:themeFill="background1"/>
              <w:rPr>
                <w:sz w:val="18"/>
                <w:szCs w:val="18"/>
              </w:rPr>
            </w:pP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14.1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Revenues from local payment mediation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47%</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rPr>
            </w:pPr>
            <w:r w:rsidRPr="00A91129">
              <w:rPr>
                <w:sz w:val="18"/>
                <w:szCs w:val="18"/>
              </w:rPr>
              <w:t>51%</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14.2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Income from other services and mediation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36%</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28%</w:t>
            </w:r>
          </w:p>
        </w:tc>
      </w:tr>
      <w:tr w:rsidR="00A91129" w:rsidRPr="00237E7C" w:rsidTr="00014FB8">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15</w:t>
            </w:r>
          </w:p>
        </w:tc>
        <w:tc>
          <w:tcPr>
            <w:tcW w:w="9452" w:type="dxa"/>
            <w:gridSpan w:val="4"/>
            <w:shd w:val="clear" w:color="auto" w:fill="FFFFFF" w:themeFill="background1"/>
          </w:tcPr>
          <w:p w:rsidR="00A91129" w:rsidRPr="00A91129" w:rsidRDefault="00A91129" w:rsidP="00CD5C5A">
            <w:pPr>
              <w:ind w:left="256" w:right="400"/>
              <w:jc w:val="center"/>
              <w:rPr>
                <w:rFonts w:ascii="Times New Roman" w:hAnsi="Times New Roman" w:cs="Times New Roman"/>
                <w:b/>
                <w:sz w:val="18"/>
                <w:szCs w:val="18"/>
                <w:lang w:val="en-US"/>
              </w:rPr>
            </w:pPr>
            <w:r w:rsidRPr="00A91129">
              <w:rPr>
                <w:rFonts w:ascii="Times New Roman" w:hAnsi="Times New Roman" w:cs="Times New Roman"/>
                <w:b/>
                <w:sz w:val="18"/>
                <w:szCs w:val="18"/>
                <w:lang w:val="en-US"/>
              </w:rPr>
              <w:t>Dynamics of the share of the main items of operating expenses in the total structure</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15.1</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r w:rsidRPr="00A91129">
              <w:rPr>
                <w:rFonts w:ascii="Times New Roman" w:hAnsi="Times New Roman" w:cs="Times New Roman"/>
                <w:sz w:val="18"/>
                <w:szCs w:val="18"/>
                <w:lang w:val="en-US"/>
              </w:rPr>
              <w:t xml:space="preserve">Salary </w:t>
            </w:r>
            <w:proofErr w:type="spellStart"/>
            <w:r w:rsidRPr="00A91129">
              <w:rPr>
                <w:rFonts w:ascii="Times New Roman" w:hAnsi="Times New Roman" w:cs="Times New Roman"/>
                <w:sz w:val="18"/>
                <w:szCs w:val="18"/>
                <w:lang w:val="en-US"/>
              </w:rPr>
              <w:t>expen</w:t>
            </w:r>
            <w:r w:rsidRPr="00A91129">
              <w:rPr>
                <w:rFonts w:ascii="Times New Roman" w:hAnsi="Times New Roman" w:cs="Times New Roman"/>
                <w:sz w:val="18"/>
                <w:szCs w:val="18"/>
              </w:rPr>
              <w:t>ses</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204"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204" w:lineRule="exact"/>
              <w:ind w:left="256" w:right="400"/>
              <w:jc w:val="center"/>
              <w:rPr>
                <w:sz w:val="18"/>
                <w:szCs w:val="18"/>
              </w:rPr>
            </w:pPr>
            <w:r w:rsidRPr="00A91129">
              <w:rPr>
                <w:sz w:val="18"/>
                <w:szCs w:val="18"/>
              </w:rPr>
              <w:t>68%</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204" w:lineRule="exact"/>
              <w:ind w:left="515" w:right="400"/>
              <w:jc w:val="center"/>
              <w:rPr>
                <w:sz w:val="18"/>
                <w:szCs w:val="18"/>
              </w:rPr>
            </w:pPr>
            <w:r w:rsidRPr="00A91129">
              <w:rPr>
                <w:sz w:val="18"/>
                <w:szCs w:val="18"/>
              </w:rPr>
              <w:t>62%</w:t>
            </w:r>
          </w:p>
        </w:tc>
      </w:tr>
      <w:tr w:rsidR="00A91129" w:rsidRPr="00A91129" w:rsidTr="00D62A84">
        <w:tc>
          <w:tcPr>
            <w:tcW w:w="601" w:type="dxa"/>
          </w:tcPr>
          <w:p w:rsidR="00A91129" w:rsidRPr="00D62A84" w:rsidRDefault="00A91129" w:rsidP="00A91129">
            <w:pPr>
              <w:rPr>
                <w:rFonts w:ascii="Times New Roman" w:hAnsi="Times New Roman" w:cs="Times New Roman"/>
                <w:b/>
                <w:sz w:val="18"/>
                <w:szCs w:val="18"/>
                <w:lang w:val="az"/>
              </w:rPr>
            </w:pPr>
            <w:r w:rsidRPr="00D62A84">
              <w:rPr>
                <w:rFonts w:ascii="Times New Roman" w:hAnsi="Times New Roman" w:cs="Times New Roman"/>
                <w:b/>
                <w:sz w:val="18"/>
                <w:szCs w:val="18"/>
                <w:lang w:val="az"/>
              </w:rPr>
              <w:t>15.2</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proofErr w:type="spellStart"/>
            <w:r w:rsidRPr="00A91129">
              <w:rPr>
                <w:rFonts w:ascii="Times New Roman" w:hAnsi="Times New Roman" w:cs="Times New Roman"/>
                <w:sz w:val="18"/>
                <w:szCs w:val="18"/>
              </w:rPr>
              <w:t>Depreciation</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and</w:t>
            </w:r>
            <w:proofErr w:type="spellEnd"/>
            <w:r w:rsidRPr="00A91129">
              <w:rPr>
                <w:rFonts w:ascii="Times New Roman" w:hAnsi="Times New Roman" w:cs="Times New Roman"/>
                <w:sz w:val="18"/>
                <w:szCs w:val="18"/>
              </w:rPr>
              <w:t xml:space="preserve"> </w:t>
            </w:r>
            <w:proofErr w:type="spellStart"/>
            <w:r w:rsidRPr="00A91129">
              <w:rPr>
                <w:rFonts w:ascii="Times New Roman" w:hAnsi="Times New Roman" w:cs="Times New Roman"/>
                <w:sz w:val="18"/>
                <w:szCs w:val="18"/>
              </w:rPr>
              <w:t>depreciation</w:t>
            </w:r>
            <w:proofErr w:type="spellEnd"/>
            <w:r w:rsidRPr="00A91129">
              <w:rPr>
                <w:rFonts w:ascii="Times New Roman" w:hAnsi="Times New Roman" w:cs="Times New Roman"/>
                <w:sz w:val="18"/>
                <w:szCs w:val="18"/>
              </w:rPr>
              <w:t xml:space="preserve">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8%</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5" w:right="400"/>
              <w:jc w:val="center"/>
              <w:rPr>
                <w:sz w:val="18"/>
                <w:szCs w:val="18"/>
              </w:rPr>
            </w:pPr>
            <w:r w:rsidRPr="00A91129">
              <w:rPr>
                <w:sz w:val="18"/>
                <w:szCs w:val="18"/>
              </w:rPr>
              <w:t>16%</w:t>
            </w:r>
          </w:p>
        </w:tc>
      </w:tr>
      <w:tr w:rsidR="00A91129" w:rsidRPr="00A91129" w:rsidTr="00D62A84">
        <w:tc>
          <w:tcPr>
            <w:tcW w:w="601" w:type="dxa"/>
          </w:tcPr>
          <w:p w:rsidR="00A91129" w:rsidRPr="00DF43A8" w:rsidRDefault="00A91129" w:rsidP="00A91129">
            <w:pPr>
              <w:rPr>
                <w:rFonts w:ascii="Times New Roman" w:hAnsi="Times New Roman" w:cs="Times New Roman"/>
                <w:b/>
                <w:sz w:val="18"/>
                <w:szCs w:val="18"/>
                <w:lang w:val="az"/>
              </w:rPr>
            </w:pPr>
            <w:r w:rsidRPr="00DF43A8">
              <w:rPr>
                <w:rFonts w:ascii="Times New Roman" w:hAnsi="Times New Roman" w:cs="Times New Roman"/>
                <w:b/>
                <w:sz w:val="18"/>
                <w:szCs w:val="18"/>
                <w:lang w:val="az"/>
              </w:rPr>
              <w:t>16</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lang w:val="en-US"/>
              </w:rPr>
            </w:pPr>
            <w:r w:rsidRPr="00A91129">
              <w:rPr>
                <w:rFonts w:ascii="Times New Roman" w:hAnsi="Times New Roman" w:cs="Times New Roman"/>
                <w:sz w:val="18"/>
                <w:szCs w:val="18"/>
                <w:lang w:val="en-US"/>
              </w:rPr>
              <w:t xml:space="preserve">Income before taxation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112"/>
              <w:jc w:val="center"/>
              <w:rPr>
                <w:sz w:val="18"/>
                <w:szCs w:val="18"/>
              </w:rPr>
            </w:pPr>
            <w:r w:rsidRPr="00A91129">
              <w:rPr>
                <w:sz w:val="18"/>
                <w:szCs w:val="18"/>
              </w:rPr>
              <w:t>billion soums</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6" w:lineRule="exact"/>
              <w:ind w:left="256" w:right="400"/>
              <w:jc w:val="center"/>
              <w:rPr>
                <w:sz w:val="18"/>
                <w:szCs w:val="18"/>
              </w:rPr>
            </w:pPr>
            <w:r w:rsidRPr="00A91129">
              <w:rPr>
                <w:sz w:val="18"/>
                <w:szCs w:val="18"/>
              </w:rPr>
              <w:t>210</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6" w:lineRule="exact"/>
              <w:ind w:left="514" w:right="401"/>
              <w:jc w:val="center"/>
              <w:rPr>
                <w:sz w:val="18"/>
                <w:szCs w:val="18"/>
              </w:rPr>
            </w:pPr>
            <w:r w:rsidRPr="00A91129">
              <w:rPr>
                <w:sz w:val="18"/>
                <w:szCs w:val="18"/>
              </w:rPr>
              <w:t>983</w:t>
            </w:r>
          </w:p>
        </w:tc>
      </w:tr>
      <w:tr w:rsidR="00A91129" w:rsidRPr="00A91129" w:rsidTr="00D62A84">
        <w:tc>
          <w:tcPr>
            <w:tcW w:w="601" w:type="dxa"/>
          </w:tcPr>
          <w:p w:rsidR="00A91129" w:rsidRPr="00DF43A8" w:rsidRDefault="00A91129" w:rsidP="00A91129">
            <w:pPr>
              <w:rPr>
                <w:rFonts w:ascii="Times New Roman" w:hAnsi="Times New Roman" w:cs="Times New Roman"/>
                <w:b/>
                <w:sz w:val="18"/>
                <w:szCs w:val="18"/>
                <w:lang w:val="az"/>
              </w:rPr>
            </w:pPr>
            <w:r w:rsidRPr="00DF43A8">
              <w:rPr>
                <w:rFonts w:ascii="Times New Roman" w:hAnsi="Times New Roman" w:cs="Times New Roman"/>
                <w:b/>
                <w:sz w:val="18"/>
                <w:szCs w:val="18"/>
                <w:lang w:val="az"/>
              </w:rPr>
              <w:t>17</w:t>
            </w:r>
          </w:p>
        </w:tc>
        <w:tc>
          <w:tcPr>
            <w:tcW w:w="4356" w:type="dxa"/>
            <w:shd w:val="clear" w:color="auto" w:fill="FFFFFF" w:themeFill="background1"/>
          </w:tcPr>
          <w:p w:rsidR="00A91129" w:rsidRPr="00A91129" w:rsidRDefault="00A91129" w:rsidP="00A91129">
            <w:pPr>
              <w:rPr>
                <w:rFonts w:ascii="Times New Roman" w:hAnsi="Times New Roman" w:cs="Times New Roman"/>
                <w:sz w:val="18"/>
                <w:szCs w:val="18"/>
              </w:rPr>
            </w:pPr>
            <w:r w:rsidRPr="00A91129">
              <w:rPr>
                <w:rFonts w:ascii="Times New Roman" w:hAnsi="Times New Roman" w:cs="Times New Roman"/>
                <w:sz w:val="18"/>
                <w:szCs w:val="18"/>
                <w:lang w:val="en-US"/>
              </w:rPr>
              <w:t>C</w:t>
            </w:r>
            <w:r w:rsidRPr="00A91129">
              <w:rPr>
                <w:rFonts w:ascii="Times New Roman" w:hAnsi="Times New Roman" w:cs="Times New Roman"/>
                <w:sz w:val="18"/>
                <w:szCs w:val="18"/>
              </w:rPr>
              <w:t xml:space="preserve">IR </w:t>
            </w:r>
          </w:p>
        </w:tc>
        <w:tc>
          <w:tcPr>
            <w:tcW w:w="2043"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113"/>
              <w:jc w:val="center"/>
              <w:rPr>
                <w:sz w:val="18"/>
                <w:szCs w:val="18"/>
              </w:rPr>
            </w:pPr>
            <w:r w:rsidRPr="00A91129">
              <w:rPr>
                <w:w w:val="99"/>
                <w:sz w:val="18"/>
                <w:szCs w:val="18"/>
              </w:rPr>
              <w:t>%</w:t>
            </w:r>
          </w:p>
        </w:tc>
        <w:tc>
          <w:tcPr>
            <w:tcW w:w="1548" w:type="dxa"/>
            <w:shd w:val="clear" w:color="auto" w:fill="FFFFFF" w:themeFill="background1"/>
          </w:tcPr>
          <w:p w:rsidR="00A91129" w:rsidRPr="00A91129" w:rsidRDefault="00A91129" w:rsidP="00CD5C5A">
            <w:pPr>
              <w:pStyle w:val="TableParagraph"/>
              <w:shd w:val="clear" w:color="auto" w:fill="FFFFFF" w:themeFill="background1"/>
              <w:spacing w:line="188" w:lineRule="exact"/>
              <w:ind w:left="256" w:right="400"/>
              <w:jc w:val="center"/>
              <w:rPr>
                <w:sz w:val="18"/>
                <w:szCs w:val="18"/>
              </w:rPr>
            </w:pPr>
            <w:r w:rsidRPr="00A91129">
              <w:rPr>
                <w:sz w:val="18"/>
                <w:szCs w:val="18"/>
              </w:rPr>
              <w:t>67%</w:t>
            </w:r>
          </w:p>
        </w:tc>
        <w:tc>
          <w:tcPr>
            <w:tcW w:w="1505" w:type="dxa"/>
            <w:shd w:val="clear" w:color="auto" w:fill="FFFFFF" w:themeFill="background1"/>
          </w:tcPr>
          <w:p w:rsidR="00A91129" w:rsidRPr="00A91129" w:rsidRDefault="00A91129" w:rsidP="00A91129">
            <w:pPr>
              <w:pStyle w:val="TableParagraph"/>
              <w:shd w:val="clear" w:color="auto" w:fill="FFFFFF" w:themeFill="background1"/>
              <w:spacing w:line="188" w:lineRule="exact"/>
              <w:ind w:left="515" w:right="400"/>
              <w:jc w:val="center"/>
              <w:rPr>
                <w:sz w:val="18"/>
                <w:szCs w:val="18"/>
                <w:lang w:val="en-US"/>
              </w:rPr>
            </w:pPr>
            <w:r w:rsidRPr="00A91129">
              <w:rPr>
                <w:sz w:val="18"/>
                <w:szCs w:val="18"/>
              </w:rPr>
              <w:t>42%</w:t>
            </w:r>
          </w:p>
        </w:tc>
      </w:tr>
    </w:tbl>
    <w:p w:rsidR="009A1067" w:rsidRPr="00A91129" w:rsidRDefault="009A1067" w:rsidP="00CB3592">
      <w:pPr>
        <w:rPr>
          <w:rFonts w:ascii="Times New Roman" w:hAnsi="Times New Roman" w:cs="Times New Roman"/>
          <w:lang w:val="az"/>
        </w:rPr>
      </w:pPr>
    </w:p>
    <w:sectPr w:rsidR="009A1067" w:rsidRPr="00A91129" w:rsidSect="00491391">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FFE"/>
    <w:multiLevelType w:val="hybridMultilevel"/>
    <w:tmpl w:val="7CCC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47ADD"/>
    <w:multiLevelType w:val="hybridMultilevel"/>
    <w:tmpl w:val="A500641A"/>
    <w:lvl w:ilvl="0" w:tplc="C98EF93E">
      <w:start w:val="1"/>
      <w:numFmt w:val="bullet"/>
      <w:lvlText w:val="-"/>
      <w:lvlJc w:val="left"/>
      <w:pPr>
        <w:ind w:left="720" w:hanging="360"/>
      </w:pPr>
      <w:rPr>
        <w:rFonts w:ascii="Times New Roman" w:eastAsiaTheme="minorHAnsi" w:hAnsi="Times New Roman" w:cs="Times New Roman" w:hint="default"/>
      </w:rPr>
    </w:lvl>
    <w:lvl w:ilvl="1" w:tplc="6FD01558" w:tentative="1">
      <w:start w:val="1"/>
      <w:numFmt w:val="bullet"/>
      <w:lvlText w:val="o"/>
      <w:lvlJc w:val="left"/>
      <w:pPr>
        <w:ind w:left="1440" w:hanging="360"/>
      </w:pPr>
      <w:rPr>
        <w:rFonts w:ascii="Courier New" w:hAnsi="Courier New" w:cs="Courier New" w:hint="default"/>
      </w:rPr>
    </w:lvl>
    <w:lvl w:ilvl="2" w:tplc="239209F4" w:tentative="1">
      <w:start w:val="1"/>
      <w:numFmt w:val="bullet"/>
      <w:lvlText w:val=""/>
      <w:lvlJc w:val="left"/>
      <w:pPr>
        <w:ind w:left="2160" w:hanging="360"/>
      </w:pPr>
      <w:rPr>
        <w:rFonts w:ascii="Wingdings" w:hAnsi="Wingdings" w:hint="default"/>
      </w:rPr>
    </w:lvl>
    <w:lvl w:ilvl="3" w:tplc="2F24C8C0" w:tentative="1">
      <w:start w:val="1"/>
      <w:numFmt w:val="bullet"/>
      <w:lvlText w:val=""/>
      <w:lvlJc w:val="left"/>
      <w:pPr>
        <w:ind w:left="2880" w:hanging="360"/>
      </w:pPr>
      <w:rPr>
        <w:rFonts w:ascii="Symbol" w:hAnsi="Symbol" w:hint="default"/>
      </w:rPr>
    </w:lvl>
    <w:lvl w:ilvl="4" w:tplc="E94CAD38" w:tentative="1">
      <w:start w:val="1"/>
      <w:numFmt w:val="bullet"/>
      <w:lvlText w:val="o"/>
      <w:lvlJc w:val="left"/>
      <w:pPr>
        <w:ind w:left="3600" w:hanging="360"/>
      </w:pPr>
      <w:rPr>
        <w:rFonts w:ascii="Courier New" w:hAnsi="Courier New" w:cs="Courier New" w:hint="default"/>
      </w:rPr>
    </w:lvl>
    <w:lvl w:ilvl="5" w:tplc="B6EABCAE" w:tentative="1">
      <w:start w:val="1"/>
      <w:numFmt w:val="bullet"/>
      <w:lvlText w:val=""/>
      <w:lvlJc w:val="left"/>
      <w:pPr>
        <w:ind w:left="4320" w:hanging="360"/>
      </w:pPr>
      <w:rPr>
        <w:rFonts w:ascii="Wingdings" w:hAnsi="Wingdings" w:hint="default"/>
      </w:rPr>
    </w:lvl>
    <w:lvl w:ilvl="6" w:tplc="1786C2B6" w:tentative="1">
      <w:start w:val="1"/>
      <w:numFmt w:val="bullet"/>
      <w:lvlText w:val=""/>
      <w:lvlJc w:val="left"/>
      <w:pPr>
        <w:ind w:left="5040" w:hanging="360"/>
      </w:pPr>
      <w:rPr>
        <w:rFonts w:ascii="Symbol" w:hAnsi="Symbol" w:hint="default"/>
      </w:rPr>
    </w:lvl>
    <w:lvl w:ilvl="7" w:tplc="59CC7470" w:tentative="1">
      <w:start w:val="1"/>
      <w:numFmt w:val="bullet"/>
      <w:lvlText w:val="o"/>
      <w:lvlJc w:val="left"/>
      <w:pPr>
        <w:ind w:left="5760" w:hanging="360"/>
      </w:pPr>
      <w:rPr>
        <w:rFonts w:ascii="Courier New" w:hAnsi="Courier New" w:cs="Courier New" w:hint="default"/>
      </w:rPr>
    </w:lvl>
    <w:lvl w:ilvl="8" w:tplc="8B723598" w:tentative="1">
      <w:start w:val="1"/>
      <w:numFmt w:val="bullet"/>
      <w:lvlText w:val=""/>
      <w:lvlJc w:val="left"/>
      <w:pPr>
        <w:ind w:left="6480" w:hanging="360"/>
      </w:pPr>
      <w:rPr>
        <w:rFonts w:ascii="Wingdings" w:hAnsi="Wingdings" w:hint="default"/>
      </w:rPr>
    </w:lvl>
  </w:abstractNum>
  <w:abstractNum w:abstractNumId="2" w15:restartNumberingAfterBreak="0">
    <w:nsid w:val="0D337FA9"/>
    <w:multiLevelType w:val="hybridMultilevel"/>
    <w:tmpl w:val="8BE667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43E4FFE"/>
    <w:multiLevelType w:val="hybridMultilevel"/>
    <w:tmpl w:val="6AF0E664"/>
    <w:lvl w:ilvl="0" w:tplc="A1301D0A">
      <w:start w:val="3"/>
      <w:numFmt w:val="decimal"/>
      <w:lvlText w:val="%1"/>
      <w:lvlJc w:val="left"/>
      <w:pPr>
        <w:ind w:left="720" w:hanging="360"/>
      </w:pPr>
      <w:rPr>
        <w:rFonts w:hint="default"/>
      </w:rPr>
    </w:lvl>
    <w:lvl w:ilvl="1" w:tplc="5C1ABBA2" w:tentative="1">
      <w:start w:val="1"/>
      <w:numFmt w:val="lowerLetter"/>
      <w:lvlText w:val="%2."/>
      <w:lvlJc w:val="left"/>
      <w:pPr>
        <w:ind w:left="1440" w:hanging="360"/>
      </w:pPr>
    </w:lvl>
    <w:lvl w:ilvl="2" w:tplc="EC6C8BBE" w:tentative="1">
      <w:start w:val="1"/>
      <w:numFmt w:val="lowerRoman"/>
      <w:lvlText w:val="%3."/>
      <w:lvlJc w:val="right"/>
      <w:pPr>
        <w:ind w:left="2160" w:hanging="180"/>
      </w:pPr>
    </w:lvl>
    <w:lvl w:ilvl="3" w:tplc="772C326E" w:tentative="1">
      <w:start w:val="1"/>
      <w:numFmt w:val="decimal"/>
      <w:lvlText w:val="%4."/>
      <w:lvlJc w:val="left"/>
      <w:pPr>
        <w:ind w:left="2880" w:hanging="360"/>
      </w:pPr>
    </w:lvl>
    <w:lvl w:ilvl="4" w:tplc="327C348E" w:tentative="1">
      <w:start w:val="1"/>
      <w:numFmt w:val="lowerLetter"/>
      <w:lvlText w:val="%5."/>
      <w:lvlJc w:val="left"/>
      <w:pPr>
        <w:ind w:left="3600" w:hanging="360"/>
      </w:pPr>
    </w:lvl>
    <w:lvl w:ilvl="5" w:tplc="8638BA98" w:tentative="1">
      <w:start w:val="1"/>
      <w:numFmt w:val="lowerRoman"/>
      <w:lvlText w:val="%6."/>
      <w:lvlJc w:val="right"/>
      <w:pPr>
        <w:ind w:left="4320" w:hanging="180"/>
      </w:pPr>
    </w:lvl>
    <w:lvl w:ilvl="6" w:tplc="F258C294" w:tentative="1">
      <w:start w:val="1"/>
      <w:numFmt w:val="decimal"/>
      <w:lvlText w:val="%7."/>
      <w:lvlJc w:val="left"/>
      <w:pPr>
        <w:ind w:left="5040" w:hanging="360"/>
      </w:pPr>
    </w:lvl>
    <w:lvl w:ilvl="7" w:tplc="1AF46E76" w:tentative="1">
      <w:start w:val="1"/>
      <w:numFmt w:val="lowerLetter"/>
      <w:lvlText w:val="%8."/>
      <w:lvlJc w:val="left"/>
      <w:pPr>
        <w:ind w:left="5760" w:hanging="360"/>
      </w:pPr>
    </w:lvl>
    <w:lvl w:ilvl="8" w:tplc="424E0474" w:tentative="1">
      <w:start w:val="1"/>
      <w:numFmt w:val="lowerRoman"/>
      <w:lvlText w:val="%9."/>
      <w:lvlJc w:val="right"/>
      <w:pPr>
        <w:ind w:left="6480" w:hanging="180"/>
      </w:pPr>
    </w:lvl>
  </w:abstractNum>
  <w:abstractNum w:abstractNumId="4" w15:restartNumberingAfterBreak="0">
    <w:nsid w:val="145D59CE"/>
    <w:multiLevelType w:val="hybridMultilevel"/>
    <w:tmpl w:val="DE1A13B2"/>
    <w:lvl w:ilvl="0" w:tplc="906CFB5E">
      <w:start w:val="1"/>
      <w:numFmt w:val="decimal"/>
      <w:lvlText w:val="%1."/>
      <w:lvlJc w:val="left"/>
      <w:pPr>
        <w:ind w:left="720" w:hanging="360"/>
      </w:pPr>
      <w:rPr>
        <w:rFonts w:hint="default"/>
      </w:rPr>
    </w:lvl>
    <w:lvl w:ilvl="1" w:tplc="12E68202" w:tentative="1">
      <w:start w:val="1"/>
      <w:numFmt w:val="lowerLetter"/>
      <w:lvlText w:val="%2."/>
      <w:lvlJc w:val="left"/>
      <w:pPr>
        <w:ind w:left="1440" w:hanging="360"/>
      </w:pPr>
    </w:lvl>
    <w:lvl w:ilvl="2" w:tplc="27E24B42" w:tentative="1">
      <w:start w:val="1"/>
      <w:numFmt w:val="lowerRoman"/>
      <w:lvlText w:val="%3."/>
      <w:lvlJc w:val="right"/>
      <w:pPr>
        <w:ind w:left="2160" w:hanging="180"/>
      </w:pPr>
    </w:lvl>
    <w:lvl w:ilvl="3" w:tplc="9E56C018" w:tentative="1">
      <w:start w:val="1"/>
      <w:numFmt w:val="decimal"/>
      <w:lvlText w:val="%4."/>
      <w:lvlJc w:val="left"/>
      <w:pPr>
        <w:ind w:left="2880" w:hanging="360"/>
      </w:pPr>
    </w:lvl>
    <w:lvl w:ilvl="4" w:tplc="CEB448BC" w:tentative="1">
      <w:start w:val="1"/>
      <w:numFmt w:val="lowerLetter"/>
      <w:lvlText w:val="%5."/>
      <w:lvlJc w:val="left"/>
      <w:pPr>
        <w:ind w:left="3600" w:hanging="360"/>
      </w:pPr>
    </w:lvl>
    <w:lvl w:ilvl="5" w:tplc="D7FC990A" w:tentative="1">
      <w:start w:val="1"/>
      <w:numFmt w:val="lowerRoman"/>
      <w:lvlText w:val="%6."/>
      <w:lvlJc w:val="right"/>
      <w:pPr>
        <w:ind w:left="4320" w:hanging="180"/>
      </w:pPr>
    </w:lvl>
    <w:lvl w:ilvl="6" w:tplc="8FCA9BFA" w:tentative="1">
      <w:start w:val="1"/>
      <w:numFmt w:val="decimal"/>
      <w:lvlText w:val="%7."/>
      <w:lvlJc w:val="left"/>
      <w:pPr>
        <w:ind w:left="5040" w:hanging="360"/>
      </w:pPr>
    </w:lvl>
    <w:lvl w:ilvl="7" w:tplc="5D1A4AA6" w:tentative="1">
      <w:start w:val="1"/>
      <w:numFmt w:val="lowerLetter"/>
      <w:lvlText w:val="%8."/>
      <w:lvlJc w:val="left"/>
      <w:pPr>
        <w:ind w:left="5760" w:hanging="360"/>
      </w:pPr>
    </w:lvl>
    <w:lvl w:ilvl="8" w:tplc="516ABB84" w:tentative="1">
      <w:start w:val="1"/>
      <w:numFmt w:val="lowerRoman"/>
      <w:lvlText w:val="%9."/>
      <w:lvlJc w:val="right"/>
      <w:pPr>
        <w:ind w:left="6480" w:hanging="180"/>
      </w:pPr>
    </w:lvl>
  </w:abstractNum>
  <w:abstractNum w:abstractNumId="5" w15:restartNumberingAfterBreak="0">
    <w:nsid w:val="1A2A6541"/>
    <w:multiLevelType w:val="hybridMultilevel"/>
    <w:tmpl w:val="8AE86722"/>
    <w:lvl w:ilvl="0" w:tplc="46441126">
      <w:start w:val="1"/>
      <w:numFmt w:val="bullet"/>
      <w:lvlText w:val="-"/>
      <w:lvlJc w:val="left"/>
      <w:pPr>
        <w:ind w:left="720" w:hanging="360"/>
      </w:pPr>
      <w:rPr>
        <w:rFonts w:ascii="Times New Roman" w:eastAsiaTheme="minorHAnsi" w:hAnsi="Times New Roman" w:cs="Times New Roman" w:hint="default"/>
      </w:rPr>
    </w:lvl>
    <w:lvl w:ilvl="1" w:tplc="30FCA496" w:tentative="1">
      <w:start w:val="1"/>
      <w:numFmt w:val="bullet"/>
      <w:lvlText w:val="o"/>
      <w:lvlJc w:val="left"/>
      <w:pPr>
        <w:ind w:left="1440" w:hanging="360"/>
      </w:pPr>
      <w:rPr>
        <w:rFonts w:ascii="Courier New" w:hAnsi="Courier New" w:cs="Courier New" w:hint="default"/>
      </w:rPr>
    </w:lvl>
    <w:lvl w:ilvl="2" w:tplc="BC40709C" w:tentative="1">
      <w:start w:val="1"/>
      <w:numFmt w:val="bullet"/>
      <w:lvlText w:val=""/>
      <w:lvlJc w:val="left"/>
      <w:pPr>
        <w:ind w:left="2160" w:hanging="360"/>
      </w:pPr>
      <w:rPr>
        <w:rFonts w:ascii="Wingdings" w:hAnsi="Wingdings" w:hint="default"/>
      </w:rPr>
    </w:lvl>
    <w:lvl w:ilvl="3" w:tplc="7166D038" w:tentative="1">
      <w:start w:val="1"/>
      <w:numFmt w:val="bullet"/>
      <w:lvlText w:val=""/>
      <w:lvlJc w:val="left"/>
      <w:pPr>
        <w:ind w:left="2880" w:hanging="360"/>
      </w:pPr>
      <w:rPr>
        <w:rFonts w:ascii="Symbol" w:hAnsi="Symbol" w:hint="default"/>
      </w:rPr>
    </w:lvl>
    <w:lvl w:ilvl="4" w:tplc="7B18A832" w:tentative="1">
      <w:start w:val="1"/>
      <w:numFmt w:val="bullet"/>
      <w:lvlText w:val="o"/>
      <w:lvlJc w:val="left"/>
      <w:pPr>
        <w:ind w:left="3600" w:hanging="360"/>
      </w:pPr>
      <w:rPr>
        <w:rFonts w:ascii="Courier New" w:hAnsi="Courier New" w:cs="Courier New" w:hint="default"/>
      </w:rPr>
    </w:lvl>
    <w:lvl w:ilvl="5" w:tplc="05E8F43E" w:tentative="1">
      <w:start w:val="1"/>
      <w:numFmt w:val="bullet"/>
      <w:lvlText w:val=""/>
      <w:lvlJc w:val="left"/>
      <w:pPr>
        <w:ind w:left="4320" w:hanging="360"/>
      </w:pPr>
      <w:rPr>
        <w:rFonts w:ascii="Wingdings" w:hAnsi="Wingdings" w:hint="default"/>
      </w:rPr>
    </w:lvl>
    <w:lvl w:ilvl="6" w:tplc="6E681800" w:tentative="1">
      <w:start w:val="1"/>
      <w:numFmt w:val="bullet"/>
      <w:lvlText w:val=""/>
      <w:lvlJc w:val="left"/>
      <w:pPr>
        <w:ind w:left="5040" w:hanging="360"/>
      </w:pPr>
      <w:rPr>
        <w:rFonts w:ascii="Symbol" w:hAnsi="Symbol" w:hint="default"/>
      </w:rPr>
    </w:lvl>
    <w:lvl w:ilvl="7" w:tplc="25020594" w:tentative="1">
      <w:start w:val="1"/>
      <w:numFmt w:val="bullet"/>
      <w:lvlText w:val="o"/>
      <w:lvlJc w:val="left"/>
      <w:pPr>
        <w:ind w:left="5760" w:hanging="360"/>
      </w:pPr>
      <w:rPr>
        <w:rFonts w:ascii="Courier New" w:hAnsi="Courier New" w:cs="Courier New" w:hint="default"/>
      </w:rPr>
    </w:lvl>
    <w:lvl w:ilvl="8" w:tplc="38347208" w:tentative="1">
      <w:start w:val="1"/>
      <w:numFmt w:val="bullet"/>
      <w:lvlText w:val=""/>
      <w:lvlJc w:val="left"/>
      <w:pPr>
        <w:ind w:left="6480" w:hanging="360"/>
      </w:pPr>
      <w:rPr>
        <w:rFonts w:ascii="Wingdings" w:hAnsi="Wingdings" w:hint="default"/>
      </w:rPr>
    </w:lvl>
  </w:abstractNum>
  <w:abstractNum w:abstractNumId="6" w15:restartNumberingAfterBreak="0">
    <w:nsid w:val="2C94526C"/>
    <w:multiLevelType w:val="hybridMultilevel"/>
    <w:tmpl w:val="815AC754"/>
    <w:lvl w:ilvl="0" w:tplc="2B1C2F9E">
      <w:start w:val="1"/>
      <w:numFmt w:val="bullet"/>
      <w:lvlText w:val="-"/>
      <w:lvlJc w:val="left"/>
      <w:pPr>
        <w:ind w:left="720" w:hanging="360"/>
      </w:pPr>
      <w:rPr>
        <w:rFonts w:ascii="Times New Roman" w:eastAsiaTheme="minorHAnsi" w:hAnsi="Times New Roman" w:cs="Times New Roman" w:hint="default"/>
      </w:rPr>
    </w:lvl>
    <w:lvl w:ilvl="1" w:tplc="2230D20C" w:tentative="1">
      <w:start w:val="1"/>
      <w:numFmt w:val="bullet"/>
      <w:lvlText w:val="o"/>
      <w:lvlJc w:val="left"/>
      <w:pPr>
        <w:ind w:left="1440" w:hanging="360"/>
      </w:pPr>
      <w:rPr>
        <w:rFonts w:ascii="Courier New" w:hAnsi="Courier New" w:cs="Courier New" w:hint="default"/>
      </w:rPr>
    </w:lvl>
    <w:lvl w:ilvl="2" w:tplc="AA7CCDF0" w:tentative="1">
      <w:start w:val="1"/>
      <w:numFmt w:val="bullet"/>
      <w:lvlText w:val=""/>
      <w:lvlJc w:val="left"/>
      <w:pPr>
        <w:ind w:left="2160" w:hanging="360"/>
      </w:pPr>
      <w:rPr>
        <w:rFonts w:ascii="Wingdings" w:hAnsi="Wingdings" w:hint="default"/>
      </w:rPr>
    </w:lvl>
    <w:lvl w:ilvl="3" w:tplc="0A26C838" w:tentative="1">
      <w:start w:val="1"/>
      <w:numFmt w:val="bullet"/>
      <w:lvlText w:val=""/>
      <w:lvlJc w:val="left"/>
      <w:pPr>
        <w:ind w:left="2880" w:hanging="360"/>
      </w:pPr>
      <w:rPr>
        <w:rFonts w:ascii="Symbol" w:hAnsi="Symbol" w:hint="default"/>
      </w:rPr>
    </w:lvl>
    <w:lvl w:ilvl="4" w:tplc="7EF85346" w:tentative="1">
      <w:start w:val="1"/>
      <w:numFmt w:val="bullet"/>
      <w:lvlText w:val="o"/>
      <w:lvlJc w:val="left"/>
      <w:pPr>
        <w:ind w:left="3600" w:hanging="360"/>
      </w:pPr>
      <w:rPr>
        <w:rFonts w:ascii="Courier New" w:hAnsi="Courier New" w:cs="Courier New" w:hint="default"/>
      </w:rPr>
    </w:lvl>
    <w:lvl w:ilvl="5" w:tplc="3F42482E" w:tentative="1">
      <w:start w:val="1"/>
      <w:numFmt w:val="bullet"/>
      <w:lvlText w:val=""/>
      <w:lvlJc w:val="left"/>
      <w:pPr>
        <w:ind w:left="4320" w:hanging="360"/>
      </w:pPr>
      <w:rPr>
        <w:rFonts w:ascii="Wingdings" w:hAnsi="Wingdings" w:hint="default"/>
      </w:rPr>
    </w:lvl>
    <w:lvl w:ilvl="6" w:tplc="62B42B7E" w:tentative="1">
      <w:start w:val="1"/>
      <w:numFmt w:val="bullet"/>
      <w:lvlText w:val=""/>
      <w:lvlJc w:val="left"/>
      <w:pPr>
        <w:ind w:left="5040" w:hanging="360"/>
      </w:pPr>
      <w:rPr>
        <w:rFonts w:ascii="Symbol" w:hAnsi="Symbol" w:hint="default"/>
      </w:rPr>
    </w:lvl>
    <w:lvl w:ilvl="7" w:tplc="D534BBC4" w:tentative="1">
      <w:start w:val="1"/>
      <w:numFmt w:val="bullet"/>
      <w:lvlText w:val="o"/>
      <w:lvlJc w:val="left"/>
      <w:pPr>
        <w:ind w:left="5760" w:hanging="360"/>
      </w:pPr>
      <w:rPr>
        <w:rFonts w:ascii="Courier New" w:hAnsi="Courier New" w:cs="Courier New" w:hint="default"/>
      </w:rPr>
    </w:lvl>
    <w:lvl w:ilvl="8" w:tplc="F9A26022" w:tentative="1">
      <w:start w:val="1"/>
      <w:numFmt w:val="bullet"/>
      <w:lvlText w:val=""/>
      <w:lvlJc w:val="left"/>
      <w:pPr>
        <w:ind w:left="6480" w:hanging="360"/>
      </w:pPr>
      <w:rPr>
        <w:rFonts w:ascii="Wingdings" w:hAnsi="Wingdings" w:hint="default"/>
      </w:rPr>
    </w:lvl>
  </w:abstractNum>
  <w:abstractNum w:abstractNumId="7" w15:restartNumberingAfterBreak="0">
    <w:nsid w:val="2DF2493C"/>
    <w:multiLevelType w:val="multilevel"/>
    <w:tmpl w:val="6AE2EB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857B7"/>
    <w:multiLevelType w:val="hybridMultilevel"/>
    <w:tmpl w:val="B3D2F450"/>
    <w:lvl w:ilvl="0" w:tplc="9ABCA3BE">
      <w:start w:val="1"/>
      <w:numFmt w:val="bullet"/>
      <w:lvlText w:val="-"/>
      <w:lvlJc w:val="left"/>
      <w:pPr>
        <w:ind w:left="720" w:hanging="360"/>
      </w:pPr>
      <w:rPr>
        <w:rFonts w:ascii="Times New Roman" w:eastAsiaTheme="minorHAnsi" w:hAnsi="Times New Roman" w:cs="Times New Roman" w:hint="default"/>
      </w:rPr>
    </w:lvl>
    <w:lvl w:ilvl="1" w:tplc="4BE87222" w:tentative="1">
      <w:start w:val="1"/>
      <w:numFmt w:val="bullet"/>
      <w:lvlText w:val="o"/>
      <w:lvlJc w:val="left"/>
      <w:pPr>
        <w:ind w:left="1440" w:hanging="360"/>
      </w:pPr>
      <w:rPr>
        <w:rFonts w:ascii="Courier New" w:hAnsi="Courier New" w:cs="Courier New" w:hint="default"/>
      </w:rPr>
    </w:lvl>
    <w:lvl w:ilvl="2" w:tplc="F74A9D22" w:tentative="1">
      <w:start w:val="1"/>
      <w:numFmt w:val="bullet"/>
      <w:lvlText w:val=""/>
      <w:lvlJc w:val="left"/>
      <w:pPr>
        <w:ind w:left="2160" w:hanging="360"/>
      </w:pPr>
      <w:rPr>
        <w:rFonts w:ascii="Wingdings" w:hAnsi="Wingdings" w:hint="default"/>
      </w:rPr>
    </w:lvl>
    <w:lvl w:ilvl="3" w:tplc="D0747804" w:tentative="1">
      <w:start w:val="1"/>
      <w:numFmt w:val="bullet"/>
      <w:lvlText w:val=""/>
      <w:lvlJc w:val="left"/>
      <w:pPr>
        <w:ind w:left="2880" w:hanging="360"/>
      </w:pPr>
      <w:rPr>
        <w:rFonts w:ascii="Symbol" w:hAnsi="Symbol" w:hint="default"/>
      </w:rPr>
    </w:lvl>
    <w:lvl w:ilvl="4" w:tplc="95CC3A7C" w:tentative="1">
      <w:start w:val="1"/>
      <w:numFmt w:val="bullet"/>
      <w:lvlText w:val="o"/>
      <w:lvlJc w:val="left"/>
      <w:pPr>
        <w:ind w:left="3600" w:hanging="360"/>
      </w:pPr>
      <w:rPr>
        <w:rFonts w:ascii="Courier New" w:hAnsi="Courier New" w:cs="Courier New" w:hint="default"/>
      </w:rPr>
    </w:lvl>
    <w:lvl w:ilvl="5" w:tplc="F964334C" w:tentative="1">
      <w:start w:val="1"/>
      <w:numFmt w:val="bullet"/>
      <w:lvlText w:val=""/>
      <w:lvlJc w:val="left"/>
      <w:pPr>
        <w:ind w:left="4320" w:hanging="360"/>
      </w:pPr>
      <w:rPr>
        <w:rFonts w:ascii="Wingdings" w:hAnsi="Wingdings" w:hint="default"/>
      </w:rPr>
    </w:lvl>
    <w:lvl w:ilvl="6" w:tplc="4690568C" w:tentative="1">
      <w:start w:val="1"/>
      <w:numFmt w:val="bullet"/>
      <w:lvlText w:val=""/>
      <w:lvlJc w:val="left"/>
      <w:pPr>
        <w:ind w:left="5040" w:hanging="360"/>
      </w:pPr>
      <w:rPr>
        <w:rFonts w:ascii="Symbol" w:hAnsi="Symbol" w:hint="default"/>
      </w:rPr>
    </w:lvl>
    <w:lvl w:ilvl="7" w:tplc="945E6ECA" w:tentative="1">
      <w:start w:val="1"/>
      <w:numFmt w:val="bullet"/>
      <w:lvlText w:val="o"/>
      <w:lvlJc w:val="left"/>
      <w:pPr>
        <w:ind w:left="5760" w:hanging="360"/>
      </w:pPr>
      <w:rPr>
        <w:rFonts w:ascii="Courier New" w:hAnsi="Courier New" w:cs="Courier New" w:hint="default"/>
      </w:rPr>
    </w:lvl>
    <w:lvl w:ilvl="8" w:tplc="CB46F4D6" w:tentative="1">
      <w:start w:val="1"/>
      <w:numFmt w:val="bullet"/>
      <w:lvlText w:val=""/>
      <w:lvlJc w:val="left"/>
      <w:pPr>
        <w:ind w:left="6480" w:hanging="360"/>
      </w:pPr>
      <w:rPr>
        <w:rFonts w:ascii="Wingdings" w:hAnsi="Wingdings" w:hint="default"/>
      </w:rPr>
    </w:lvl>
  </w:abstractNum>
  <w:abstractNum w:abstractNumId="9" w15:restartNumberingAfterBreak="0">
    <w:nsid w:val="376135A3"/>
    <w:multiLevelType w:val="multilevel"/>
    <w:tmpl w:val="FFD2A1BE"/>
    <w:lvl w:ilvl="0">
      <w:start w:val="4"/>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96A492D"/>
    <w:multiLevelType w:val="hybridMultilevel"/>
    <w:tmpl w:val="58007F06"/>
    <w:lvl w:ilvl="0" w:tplc="D1F0A266">
      <w:start w:val="1"/>
      <w:numFmt w:val="decimal"/>
      <w:lvlText w:val="%1."/>
      <w:lvlJc w:val="left"/>
      <w:pPr>
        <w:ind w:left="720" w:hanging="360"/>
      </w:pPr>
      <w:rPr>
        <w:rFonts w:hint="default"/>
      </w:rPr>
    </w:lvl>
    <w:lvl w:ilvl="1" w:tplc="B3DC975E" w:tentative="1">
      <w:start w:val="1"/>
      <w:numFmt w:val="lowerLetter"/>
      <w:lvlText w:val="%2."/>
      <w:lvlJc w:val="left"/>
      <w:pPr>
        <w:ind w:left="1440" w:hanging="360"/>
      </w:pPr>
    </w:lvl>
    <w:lvl w:ilvl="2" w:tplc="84D45CB8" w:tentative="1">
      <w:start w:val="1"/>
      <w:numFmt w:val="lowerRoman"/>
      <w:lvlText w:val="%3."/>
      <w:lvlJc w:val="right"/>
      <w:pPr>
        <w:ind w:left="2160" w:hanging="180"/>
      </w:pPr>
    </w:lvl>
    <w:lvl w:ilvl="3" w:tplc="5F2A5E7C" w:tentative="1">
      <w:start w:val="1"/>
      <w:numFmt w:val="decimal"/>
      <w:lvlText w:val="%4."/>
      <w:lvlJc w:val="left"/>
      <w:pPr>
        <w:ind w:left="2880" w:hanging="360"/>
      </w:pPr>
    </w:lvl>
    <w:lvl w:ilvl="4" w:tplc="12444044" w:tentative="1">
      <w:start w:val="1"/>
      <w:numFmt w:val="lowerLetter"/>
      <w:lvlText w:val="%5."/>
      <w:lvlJc w:val="left"/>
      <w:pPr>
        <w:ind w:left="3600" w:hanging="360"/>
      </w:pPr>
    </w:lvl>
    <w:lvl w:ilvl="5" w:tplc="0356518E" w:tentative="1">
      <w:start w:val="1"/>
      <w:numFmt w:val="lowerRoman"/>
      <w:lvlText w:val="%6."/>
      <w:lvlJc w:val="right"/>
      <w:pPr>
        <w:ind w:left="4320" w:hanging="180"/>
      </w:pPr>
    </w:lvl>
    <w:lvl w:ilvl="6" w:tplc="283AAA6C" w:tentative="1">
      <w:start w:val="1"/>
      <w:numFmt w:val="decimal"/>
      <w:lvlText w:val="%7."/>
      <w:lvlJc w:val="left"/>
      <w:pPr>
        <w:ind w:left="5040" w:hanging="360"/>
      </w:pPr>
    </w:lvl>
    <w:lvl w:ilvl="7" w:tplc="7A2A1A68" w:tentative="1">
      <w:start w:val="1"/>
      <w:numFmt w:val="lowerLetter"/>
      <w:lvlText w:val="%8."/>
      <w:lvlJc w:val="left"/>
      <w:pPr>
        <w:ind w:left="5760" w:hanging="360"/>
      </w:pPr>
    </w:lvl>
    <w:lvl w:ilvl="8" w:tplc="52004012" w:tentative="1">
      <w:start w:val="1"/>
      <w:numFmt w:val="lowerRoman"/>
      <w:lvlText w:val="%9."/>
      <w:lvlJc w:val="right"/>
      <w:pPr>
        <w:ind w:left="6480" w:hanging="180"/>
      </w:pPr>
    </w:lvl>
  </w:abstractNum>
  <w:abstractNum w:abstractNumId="11" w15:restartNumberingAfterBreak="0">
    <w:nsid w:val="40013A38"/>
    <w:multiLevelType w:val="hybridMultilevel"/>
    <w:tmpl w:val="7BBEAFA8"/>
    <w:lvl w:ilvl="0" w:tplc="0B9248EC">
      <w:start w:val="1"/>
      <w:numFmt w:val="bullet"/>
      <w:lvlText w:val="-"/>
      <w:lvlJc w:val="left"/>
      <w:pPr>
        <w:ind w:left="720" w:hanging="360"/>
      </w:pPr>
      <w:rPr>
        <w:rFonts w:ascii="Times New Roman" w:eastAsiaTheme="minorHAnsi" w:hAnsi="Times New Roman" w:cs="Times New Roman" w:hint="default"/>
      </w:rPr>
    </w:lvl>
    <w:lvl w:ilvl="1" w:tplc="05084358" w:tentative="1">
      <w:start w:val="1"/>
      <w:numFmt w:val="bullet"/>
      <w:lvlText w:val="o"/>
      <w:lvlJc w:val="left"/>
      <w:pPr>
        <w:ind w:left="1440" w:hanging="360"/>
      </w:pPr>
      <w:rPr>
        <w:rFonts w:ascii="Courier New" w:hAnsi="Courier New" w:cs="Courier New" w:hint="default"/>
      </w:rPr>
    </w:lvl>
    <w:lvl w:ilvl="2" w:tplc="FAA411B2" w:tentative="1">
      <w:start w:val="1"/>
      <w:numFmt w:val="bullet"/>
      <w:lvlText w:val=""/>
      <w:lvlJc w:val="left"/>
      <w:pPr>
        <w:ind w:left="2160" w:hanging="360"/>
      </w:pPr>
      <w:rPr>
        <w:rFonts w:ascii="Wingdings" w:hAnsi="Wingdings" w:hint="default"/>
      </w:rPr>
    </w:lvl>
    <w:lvl w:ilvl="3" w:tplc="347E543A" w:tentative="1">
      <w:start w:val="1"/>
      <w:numFmt w:val="bullet"/>
      <w:lvlText w:val=""/>
      <w:lvlJc w:val="left"/>
      <w:pPr>
        <w:ind w:left="2880" w:hanging="360"/>
      </w:pPr>
      <w:rPr>
        <w:rFonts w:ascii="Symbol" w:hAnsi="Symbol" w:hint="default"/>
      </w:rPr>
    </w:lvl>
    <w:lvl w:ilvl="4" w:tplc="8F540428" w:tentative="1">
      <w:start w:val="1"/>
      <w:numFmt w:val="bullet"/>
      <w:lvlText w:val="o"/>
      <w:lvlJc w:val="left"/>
      <w:pPr>
        <w:ind w:left="3600" w:hanging="360"/>
      </w:pPr>
      <w:rPr>
        <w:rFonts w:ascii="Courier New" w:hAnsi="Courier New" w:cs="Courier New" w:hint="default"/>
      </w:rPr>
    </w:lvl>
    <w:lvl w:ilvl="5" w:tplc="DB9EE080" w:tentative="1">
      <w:start w:val="1"/>
      <w:numFmt w:val="bullet"/>
      <w:lvlText w:val=""/>
      <w:lvlJc w:val="left"/>
      <w:pPr>
        <w:ind w:left="4320" w:hanging="360"/>
      </w:pPr>
      <w:rPr>
        <w:rFonts w:ascii="Wingdings" w:hAnsi="Wingdings" w:hint="default"/>
      </w:rPr>
    </w:lvl>
    <w:lvl w:ilvl="6" w:tplc="3AF66A9E" w:tentative="1">
      <w:start w:val="1"/>
      <w:numFmt w:val="bullet"/>
      <w:lvlText w:val=""/>
      <w:lvlJc w:val="left"/>
      <w:pPr>
        <w:ind w:left="5040" w:hanging="360"/>
      </w:pPr>
      <w:rPr>
        <w:rFonts w:ascii="Symbol" w:hAnsi="Symbol" w:hint="default"/>
      </w:rPr>
    </w:lvl>
    <w:lvl w:ilvl="7" w:tplc="9D62673C" w:tentative="1">
      <w:start w:val="1"/>
      <w:numFmt w:val="bullet"/>
      <w:lvlText w:val="o"/>
      <w:lvlJc w:val="left"/>
      <w:pPr>
        <w:ind w:left="5760" w:hanging="360"/>
      </w:pPr>
      <w:rPr>
        <w:rFonts w:ascii="Courier New" w:hAnsi="Courier New" w:cs="Courier New" w:hint="default"/>
      </w:rPr>
    </w:lvl>
    <w:lvl w:ilvl="8" w:tplc="C3DE94E8" w:tentative="1">
      <w:start w:val="1"/>
      <w:numFmt w:val="bullet"/>
      <w:lvlText w:val=""/>
      <w:lvlJc w:val="left"/>
      <w:pPr>
        <w:ind w:left="6480" w:hanging="360"/>
      </w:pPr>
      <w:rPr>
        <w:rFonts w:ascii="Wingdings" w:hAnsi="Wingdings" w:hint="default"/>
      </w:rPr>
    </w:lvl>
  </w:abstractNum>
  <w:abstractNum w:abstractNumId="12" w15:restartNumberingAfterBreak="0">
    <w:nsid w:val="45440C75"/>
    <w:multiLevelType w:val="hybridMultilevel"/>
    <w:tmpl w:val="250A58F6"/>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13" w15:restartNumberingAfterBreak="0">
    <w:nsid w:val="47E60F54"/>
    <w:multiLevelType w:val="hybridMultilevel"/>
    <w:tmpl w:val="864C7AEA"/>
    <w:lvl w:ilvl="0" w:tplc="0419000F">
      <w:start w:val="1"/>
      <w:numFmt w:val="decimal"/>
      <w:lvlText w:val="%1."/>
      <w:lvlJc w:val="left"/>
      <w:pPr>
        <w:ind w:left="973" w:hanging="360"/>
      </w:p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abstractNum w:abstractNumId="14" w15:restartNumberingAfterBreak="0">
    <w:nsid w:val="525F5153"/>
    <w:multiLevelType w:val="multilevel"/>
    <w:tmpl w:val="6AE2EB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E31A0"/>
    <w:multiLevelType w:val="multilevel"/>
    <w:tmpl w:val="6AE2EB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EC2155"/>
    <w:multiLevelType w:val="multilevel"/>
    <w:tmpl w:val="3EB0528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77534CB"/>
    <w:multiLevelType w:val="hybridMultilevel"/>
    <w:tmpl w:val="0B26FB3A"/>
    <w:lvl w:ilvl="0" w:tplc="A05ECE86">
      <w:start w:val="1"/>
      <w:numFmt w:val="decimal"/>
      <w:lvlText w:val="%1."/>
      <w:lvlJc w:val="left"/>
      <w:pPr>
        <w:ind w:left="720" w:hanging="360"/>
      </w:pPr>
    </w:lvl>
    <w:lvl w:ilvl="1" w:tplc="79401E9C" w:tentative="1">
      <w:start w:val="1"/>
      <w:numFmt w:val="lowerLetter"/>
      <w:lvlText w:val="%2."/>
      <w:lvlJc w:val="left"/>
      <w:pPr>
        <w:ind w:left="1440" w:hanging="360"/>
      </w:pPr>
    </w:lvl>
    <w:lvl w:ilvl="2" w:tplc="98E2B1FC" w:tentative="1">
      <w:start w:val="1"/>
      <w:numFmt w:val="lowerRoman"/>
      <w:lvlText w:val="%3."/>
      <w:lvlJc w:val="right"/>
      <w:pPr>
        <w:ind w:left="2160" w:hanging="180"/>
      </w:pPr>
    </w:lvl>
    <w:lvl w:ilvl="3" w:tplc="8EEA3120" w:tentative="1">
      <w:start w:val="1"/>
      <w:numFmt w:val="decimal"/>
      <w:lvlText w:val="%4."/>
      <w:lvlJc w:val="left"/>
      <w:pPr>
        <w:ind w:left="2880" w:hanging="360"/>
      </w:pPr>
    </w:lvl>
    <w:lvl w:ilvl="4" w:tplc="0982FB12" w:tentative="1">
      <w:start w:val="1"/>
      <w:numFmt w:val="lowerLetter"/>
      <w:lvlText w:val="%5."/>
      <w:lvlJc w:val="left"/>
      <w:pPr>
        <w:ind w:left="3600" w:hanging="360"/>
      </w:pPr>
    </w:lvl>
    <w:lvl w:ilvl="5" w:tplc="808886AC" w:tentative="1">
      <w:start w:val="1"/>
      <w:numFmt w:val="lowerRoman"/>
      <w:lvlText w:val="%6."/>
      <w:lvlJc w:val="right"/>
      <w:pPr>
        <w:ind w:left="4320" w:hanging="180"/>
      </w:pPr>
    </w:lvl>
    <w:lvl w:ilvl="6" w:tplc="EF925384" w:tentative="1">
      <w:start w:val="1"/>
      <w:numFmt w:val="decimal"/>
      <w:lvlText w:val="%7."/>
      <w:lvlJc w:val="left"/>
      <w:pPr>
        <w:ind w:left="5040" w:hanging="360"/>
      </w:pPr>
    </w:lvl>
    <w:lvl w:ilvl="7" w:tplc="64A0E0E8" w:tentative="1">
      <w:start w:val="1"/>
      <w:numFmt w:val="lowerLetter"/>
      <w:lvlText w:val="%8."/>
      <w:lvlJc w:val="left"/>
      <w:pPr>
        <w:ind w:left="5760" w:hanging="360"/>
      </w:pPr>
    </w:lvl>
    <w:lvl w:ilvl="8" w:tplc="E89C42F4" w:tentative="1">
      <w:start w:val="1"/>
      <w:numFmt w:val="lowerRoman"/>
      <w:lvlText w:val="%9."/>
      <w:lvlJc w:val="right"/>
      <w:pPr>
        <w:ind w:left="6480" w:hanging="180"/>
      </w:pPr>
    </w:lvl>
  </w:abstractNum>
  <w:abstractNum w:abstractNumId="18" w15:restartNumberingAfterBreak="0">
    <w:nsid w:val="679B78CA"/>
    <w:multiLevelType w:val="multilevel"/>
    <w:tmpl w:val="6AE2EB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2814C1"/>
    <w:multiLevelType w:val="hybridMultilevel"/>
    <w:tmpl w:val="C1A2FC68"/>
    <w:lvl w:ilvl="0" w:tplc="CB4CD1B6">
      <w:start w:val="1"/>
      <w:numFmt w:val="decimal"/>
      <w:lvlText w:val="%1."/>
      <w:lvlJc w:val="left"/>
      <w:pPr>
        <w:ind w:left="659" w:hanging="525"/>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20" w15:restartNumberingAfterBreak="0">
    <w:nsid w:val="6BBE2205"/>
    <w:multiLevelType w:val="hybridMultilevel"/>
    <w:tmpl w:val="9CCE39FA"/>
    <w:lvl w:ilvl="0" w:tplc="C0CC08B8">
      <w:start w:val="1"/>
      <w:numFmt w:val="decimal"/>
      <w:lvlText w:val="%1."/>
      <w:lvlJc w:val="left"/>
      <w:pPr>
        <w:ind w:left="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4A1060"/>
    <w:multiLevelType w:val="hybridMultilevel"/>
    <w:tmpl w:val="B2AABFFA"/>
    <w:lvl w:ilvl="0" w:tplc="B294502E">
      <w:start w:val="1"/>
      <w:numFmt w:val="bullet"/>
      <w:lvlText w:val="-"/>
      <w:lvlJc w:val="left"/>
      <w:pPr>
        <w:ind w:left="720" w:hanging="360"/>
      </w:pPr>
      <w:rPr>
        <w:rFonts w:ascii="Times New Roman" w:eastAsiaTheme="minorHAnsi" w:hAnsi="Times New Roman" w:cs="Times New Roman" w:hint="default"/>
      </w:rPr>
    </w:lvl>
    <w:lvl w:ilvl="1" w:tplc="854E809E" w:tentative="1">
      <w:start w:val="1"/>
      <w:numFmt w:val="bullet"/>
      <w:lvlText w:val="o"/>
      <w:lvlJc w:val="left"/>
      <w:pPr>
        <w:ind w:left="1440" w:hanging="360"/>
      </w:pPr>
      <w:rPr>
        <w:rFonts w:ascii="Courier New" w:hAnsi="Courier New" w:cs="Courier New" w:hint="default"/>
      </w:rPr>
    </w:lvl>
    <w:lvl w:ilvl="2" w:tplc="8AD8EC9E" w:tentative="1">
      <w:start w:val="1"/>
      <w:numFmt w:val="bullet"/>
      <w:lvlText w:val=""/>
      <w:lvlJc w:val="left"/>
      <w:pPr>
        <w:ind w:left="2160" w:hanging="360"/>
      </w:pPr>
      <w:rPr>
        <w:rFonts w:ascii="Wingdings" w:hAnsi="Wingdings" w:hint="default"/>
      </w:rPr>
    </w:lvl>
    <w:lvl w:ilvl="3" w:tplc="286864F2" w:tentative="1">
      <w:start w:val="1"/>
      <w:numFmt w:val="bullet"/>
      <w:lvlText w:val=""/>
      <w:lvlJc w:val="left"/>
      <w:pPr>
        <w:ind w:left="2880" w:hanging="360"/>
      </w:pPr>
      <w:rPr>
        <w:rFonts w:ascii="Symbol" w:hAnsi="Symbol" w:hint="default"/>
      </w:rPr>
    </w:lvl>
    <w:lvl w:ilvl="4" w:tplc="25441732" w:tentative="1">
      <w:start w:val="1"/>
      <w:numFmt w:val="bullet"/>
      <w:lvlText w:val="o"/>
      <w:lvlJc w:val="left"/>
      <w:pPr>
        <w:ind w:left="3600" w:hanging="360"/>
      </w:pPr>
      <w:rPr>
        <w:rFonts w:ascii="Courier New" w:hAnsi="Courier New" w:cs="Courier New" w:hint="default"/>
      </w:rPr>
    </w:lvl>
    <w:lvl w:ilvl="5" w:tplc="40D69CB0" w:tentative="1">
      <w:start w:val="1"/>
      <w:numFmt w:val="bullet"/>
      <w:lvlText w:val=""/>
      <w:lvlJc w:val="left"/>
      <w:pPr>
        <w:ind w:left="4320" w:hanging="360"/>
      </w:pPr>
      <w:rPr>
        <w:rFonts w:ascii="Wingdings" w:hAnsi="Wingdings" w:hint="default"/>
      </w:rPr>
    </w:lvl>
    <w:lvl w:ilvl="6" w:tplc="819A9862" w:tentative="1">
      <w:start w:val="1"/>
      <w:numFmt w:val="bullet"/>
      <w:lvlText w:val=""/>
      <w:lvlJc w:val="left"/>
      <w:pPr>
        <w:ind w:left="5040" w:hanging="360"/>
      </w:pPr>
      <w:rPr>
        <w:rFonts w:ascii="Symbol" w:hAnsi="Symbol" w:hint="default"/>
      </w:rPr>
    </w:lvl>
    <w:lvl w:ilvl="7" w:tplc="7CDA5D2C" w:tentative="1">
      <w:start w:val="1"/>
      <w:numFmt w:val="bullet"/>
      <w:lvlText w:val="o"/>
      <w:lvlJc w:val="left"/>
      <w:pPr>
        <w:ind w:left="5760" w:hanging="360"/>
      </w:pPr>
      <w:rPr>
        <w:rFonts w:ascii="Courier New" w:hAnsi="Courier New" w:cs="Courier New" w:hint="default"/>
      </w:rPr>
    </w:lvl>
    <w:lvl w:ilvl="8" w:tplc="D64E25EA" w:tentative="1">
      <w:start w:val="1"/>
      <w:numFmt w:val="bullet"/>
      <w:lvlText w:val=""/>
      <w:lvlJc w:val="left"/>
      <w:pPr>
        <w:ind w:left="6480" w:hanging="360"/>
      </w:pPr>
      <w:rPr>
        <w:rFonts w:ascii="Wingdings" w:hAnsi="Wingdings" w:hint="default"/>
      </w:rPr>
    </w:lvl>
  </w:abstractNum>
  <w:abstractNum w:abstractNumId="22" w15:restartNumberingAfterBreak="0">
    <w:nsid w:val="6EBF743D"/>
    <w:multiLevelType w:val="hybridMultilevel"/>
    <w:tmpl w:val="BE6E3278"/>
    <w:lvl w:ilvl="0" w:tplc="87541112">
      <w:start w:val="4"/>
      <w:numFmt w:val="decimal"/>
      <w:lvlText w:val="%1."/>
      <w:lvlJc w:val="left"/>
      <w:pPr>
        <w:ind w:left="720" w:hanging="360"/>
      </w:pPr>
      <w:rPr>
        <w:rFonts w:hint="default"/>
      </w:rPr>
    </w:lvl>
    <w:lvl w:ilvl="1" w:tplc="65F4D4AE" w:tentative="1">
      <w:start w:val="1"/>
      <w:numFmt w:val="lowerLetter"/>
      <w:lvlText w:val="%2."/>
      <w:lvlJc w:val="left"/>
      <w:pPr>
        <w:ind w:left="1440" w:hanging="360"/>
      </w:pPr>
    </w:lvl>
    <w:lvl w:ilvl="2" w:tplc="D6A63116" w:tentative="1">
      <w:start w:val="1"/>
      <w:numFmt w:val="lowerRoman"/>
      <w:lvlText w:val="%3."/>
      <w:lvlJc w:val="right"/>
      <w:pPr>
        <w:ind w:left="2160" w:hanging="180"/>
      </w:pPr>
    </w:lvl>
    <w:lvl w:ilvl="3" w:tplc="75EEB862" w:tentative="1">
      <w:start w:val="1"/>
      <w:numFmt w:val="decimal"/>
      <w:lvlText w:val="%4."/>
      <w:lvlJc w:val="left"/>
      <w:pPr>
        <w:ind w:left="2880" w:hanging="360"/>
      </w:pPr>
    </w:lvl>
    <w:lvl w:ilvl="4" w:tplc="F63E29CE" w:tentative="1">
      <w:start w:val="1"/>
      <w:numFmt w:val="lowerLetter"/>
      <w:lvlText w:val="%5."/>
      <w:lvlJc w:val="left"/>
      <w:pPr>
        <w:ind w:left="3600" w:hanging="360"/>
      </w:pPr>
    </w:lvl>
    <w:lvl w:ilvl="5" w:tplc="2B4EB554" w:tentative="1">
      <w:start w:val="1"/>
      <w:numFmt w:val="lowerRoman"/>
      <w:lvlText w:val="%6."/>
      <w:lvlJc w:val="right"/>
      <w:pPr>
        <w:ind w:left="4320" w:hanging="180"/>
      </w:pPr>
    </w:lvl>
    <w:lvl w:ilvl="6" w:tplc="FE76B8BC" w:tentative="1">
      <w:start w:val="1"/>
      <w:numFmt w:val="decimal"/>
      <w:lvlText w:val="%7."/>
      <w:lvlJc w:val="left"/>
      <w:pPr>
        <w:ind w:left="5040" w:hanging="360"/>
      </w:pPr>
    </w:lvl>
    <w:lvl w:ilvl="7" w:tplc="A59847B8" w:tentative="1">
      <w:start w:val="1"/>
      <w:numFmt w:val="lowerLetter"/>
      <w:lvlText w:val="%8."/>
      <w:lvlJc w:val="left"/>
      <w:pPr>
        <w:ind w:left="5760" w:hanging="360"/>
      </w:pPr>
    </w:lvl>
    <w:lvl w:ilvl="8" w:tplc="F1889CCE" w:tentative="1">
      <w:start w:val="1"/>
      <w:numFmt w:val="lowerRoman"/>
      <w:lvlText w:val="%9."/>
      <w:lvlJc w:val="right"/>
      <w:pPr>
        <w:ind w:left="6480" w:hanging="180"/>
      </w:pPr>
    </w:lvl>
  </w:abstractNum>
  <w:abstractNum w:abstractNumId="23" w15:restartNumberingAfterBreak="0">
    <w:nsid w:val="754520E5"/>
    <w:multiLevelType w:val="hybridMultilevel"/>
    <w:tmpl w:val="73B42FD2"/>
    <w:lvl w:ilvl="0" w:tplc="EF8EDE46">
      <w:start w:val="1"/>
      <w:numFmt w:val="decimal"/>
      <w:lvlText w:val="%1."/>
      <w:lvlJc w:val="left"/>
      <w:pPr>
        <w:ind w:left="247" w:hanging="262"/>
      </w:pPr>
      <w:rPr>
        <w:rFonts w:ascii="Times New Roman" w:eastAsia="Times New Roman" w:hAnsi="Times New Roman" w:cs="Times New Roman" w:hint="default"/>
        <w:w w:val="100"/>
        <w:sz w:val="24"/>
        <w:szCs w:val="24"/>
        <w:lang w:val="az" w:eastAsia="en-US" w:bidi="ar-SA"/>
      </w:rPr>
    </w:lvl>
    <w:lvl w:ilvl="1" w:tplc="BB10042E">
      <w:numFmt w:val="bullet"/>
      <w:lvlText w:val="•"/>
      <w:lvlJc w:val="left"/>
      <w:pPr>
        <w:ind w:left="427" w:hanging="262"/>
      </w:pPr>
      <w:rPr>
        <w:rFonts w:hint="default"/>
        <w:lang w:val="az" w:eastAsia="en-US" w:bidi="ar-SA"/>
      </w:rPr>
    </w:lvl>
    <w:lvl w:ilvl="2" w:tplc="9364C842">
      <w:numFmt w:val="bullet"/>
      <w:lvlText w:val="•"/>
      <w:lvlJc w:val="left"/>
      <w:pPr>
        <w:ind w:left="615" w:hanging="262"/>
      </w:pPr>
      <w:rPr>
        <w:rFonts w:hint="default"/>
        <w:lang w:val="az" w:eastAsia="en-US" w:bidi="ar-SA"/>
      </w:rPr>
    </w:lvl>
    <w:lvl w:ilvl="3" w:tplc="486A7F1E">
      <w:numFmt w:val="bullet"/>
      <w:lvlText w:val="•"/>
      <w:lvlJc w:val="left"/>
      <w:pPr>
        <w:ind w:left="803" w:hanging="262"/>
      </w:pPr>
      <w:rPr>
        <w:rFonts w:hint="default"/>
        <w:lang w:val="az" w:eastAsia="en-US" w:bidi="ar-SA"/>
      </w:rPr>
    </w:lvl>
    <w:lvl w:ilvl="4" w:tplc="0F06A72C">
      <w:numFmt w:val="bullet"/>
      <w:lvlText w:val="•"/>
      <w:lvlJc w:val="left"/>
      <w:pPr>
        <w:ind w:left="990" w:hanging="262"/>
      </w:pPr>
      <w:rPr>
        <w:rFonts w:hint="default"/>
        <w:lang w:val="az" w:eastAsia="en-US" w:bidi="ar-SA"/>
      </w:rPr>
    </w:lvl>
    <w:lvl w:ilvl="5" w:tplc="F6EC436A">
      <w:numFmt w:val="bullet"/>
      <w:lvlText w:val="•"/>
      <w:lvlJc w:val="left"/>
      <w:pPr>
        <w:ind w:left="1178" w:hanging="262"/>
      </w:pPr>
      <w:rPr>
        <w:rFonts w:hint="default"/>
        <w:lang w:val="az" w:eastAsia="en-US" w:bidi="ar-SA"/>
      </w:rPr>
    </w:lvl>
    <w:lvl w:ilvl="6" w:tplc="A3183E5E">
      <w:numFmt w:val="bullet"/>
      <w:lvlText w:val="•"/>
      <w:lvlJc w:val="left"/>
      <w:pPr>
        <w:ind w:left="1366" w:hanging="262"/>
      </w:pPr>
      <w:rPr>
        <w:rFonts w:hint="default"/>
        <w:lang w:val="az" w:eastAsia="en-US" w:bidi="ar-SA"/>
      </w:rPr>
    </w:lvl>
    <w:lvl w:ilvl="7" w:tplc="21646564">
      <w:numFmt w:val="bullet"/>
      <w:lvlText w:val="•"/>
      <w:lvlJc w:val="left"/>
      <w:pPr>
        <w:ind w:left="1553" w:hanging="262"/>
      </w:pPr>
      <w:rPr>
        <w:rFonts w:hint="default"/>
        <w:lang w:val="az" w:eastAsia="en-US" w:bidi="ar-SA"/>
      </w:rPr>
    </w:lvl>
    <w:lvl w:ilvl="8" w:tplc="220EFFD2">
      <w:numFmt w:val="bullet"/>
      <w:lvlText w:val="•"/>
      <w:lvlJc w:val="left"/>
      <w:pPr>
        <w:ind w:left="1741" w:hanging="262"/>
      </w:pPr>
      <w:rPr>
        <w:rFonts w:hint="default"/>
        <w:lang w:val="az" w:eastAsia="en-US" w:bidi="ar-SA"/>
      </w:rPr>
    </w:lvl>
  </w:abstractNum>
  <w:abstractNum w:abstractNumId="24" w15:restartNumberingAfterBreak="0">
    <w:nsid w:val="76EF7B42"/>
    <w:multiLevelType w:val="hybridMultilevel"/>
    <w:tmpl w:val="E60CDB56"/>
    <w:lvl w:ilvl="0" w:tplc="056E8F3E">
      <w:start w:val="1"/>
      <w:numFmt w:val="lowerLetter"/>
      <w:lvlText w:val="%1."/>
      <w:lvlJc w:val="left"/>
      <w:pPr>
        <w:ind w:left="720" w:hanging="360"/>
      </w:pPr>
    </w:lvl>
    <w:lvl w:ilvl="1" w:tplc="A5D8F176" w:tentative="1">
      <w:start w:val="1"/>
      <w:numFmt w:val="lowerLetter"/>
      <w:lvlText w:val="%2."/>
      <w:lvlJc w:val="left"/>
      <w:pPr>
        <w:ind w:left="1440" w:hanging="360"/>
      </w:pPr>
    </w:lvl>
    <w:lvl w:ilvl="2" w:tplc="BB0E9272" w:tentative="1">
      <w:start w:val="1"/>
      <w:numFmt w:val="lowerRoman"/>
      <w:lvlText w:val="%3."/>
      <w:lvlJc w:val="right"/>
      <w:pPr>
        <w:ind w:left="2160" w:hanging="180"/>
      </w:pPr>
    </w:lvl>
    <w:lvl w:ilvl="3" w:tplc="B7D28C80" w:tentative="1">
      <w:start w:val="1"/>
      <w:numFmt w:val="decimal"/>
      <w:lvlText w:val="%4."/>
      <w:lvlJc w:val="left"/>
      <w:pPr>
        <w:ind w:left="2880" w:hanging="360"/>
      </w:pPr>
    </w:lvl>
    <w:lvl w:ilvl="4" w:tplc="6B809D72" w:tentative="1">
      <w:start w:val="1"/>
      <w:numFmt w:val="lowerLetter"/>
      <w:lvlText w:val="%5."/>
      <w:lvlJc w:val="left"/>
      <w:pPr>
        <w:ind w:left="3600" w:hanging="360"/>
      </w:pPr>
    </w:lvl>
    <w:lvl w:ilvl="5" w:tplc="B670538E" w:tentative="1">
      <w:start w:val="1"/>
      <w:numFmt w:val="lowerRoman"/>
      <w:lvlText w:val="%6."/>
      <w:lvlJc w:val="right"/>
      <w:pPr>
        <w:ind w:left="4320" w:hanging="180"/>
      </w:pPr>
    </w:lvl>
    <w:lvl w:ilvl="6" w:tplc="D50E13BC" w:tentative="1">
      <w:start w:val="1"/>
      <w:numFmt w:val="decimal"/>
      <w:lvlText w:val="%7."/>
      <w:lvlJc w:val="left"/>
      <w:pPr>
        <w:ind w:left="5040" w:hanging="360"/>
      </w:pPr>
    </w:lvl>
    <w:lvl w:ilvl="7" w:tplc="652007A2" w:tentative="1">
      <w:start w:val="1"/>
      <w:numFmt w:val="lowerLetter"/>
      <w:lvlText w:val="%8."/>
      <w:lvlJc w:val="left"/>
      <w:pPr>
        <w:ind w:left="5760" w:hanging="360"/>
      </w:pPr>
    </w:lvl>
    <w:lvl w:ilvl="8" w:tplc="2FE02EAE" w:tentative="1">
      <w:start w:val="1"/>
      <w:numFmt w:val="lowerRoman"/>
      <w:lvlText w:val="%9."/>
      <w:lvlJc w:val="right"/>
      <w:pPr>
        <w:ind w:left="6480" w:hanging="180"/>
      </w:pPr>
    </w:lvl>
  </w:abstractNum>
  <w:abstractNum w:abstractNumId="25" w15:restartNumberingAfterBreak="0">
    <w:nsid w:val="794B7B45"/>
    <w:multiLevelType w:val="hybridMultilevel"/>
    <w:tmpl w:val="CE0C2D24"/>
    <w:lvl w:ilvl="0" w:tplc="F03E0F86">
      <w:start w:val="1"/>
      <w:numFmt w:val="bullet"/>
      <w:lvlText w:val="-"/>
      <w:lvlJc w:val="left"/>
      <w:pPr>
        <w:ind w:left="720" w:hanging="360"/>
      </w:pPr>
      <w:rPr>
        <w:rFonts w:ascii="Times New Roman" w:eastAsiaTheme="minorHAnsi" w:hAnsi="Times New Roman" w:cs="Times New Roman" w:hint="default"/>
      </w:rPr>
    </w:lvl>
    <w:lvl w:ilvl="1" w:tplc="F042C1F0" w:tentative="1">
      <w:start w:val="1"/>
      <w:numFmt w:val="bullet"/>
      <w:lvlText w:val="o"/>
      <w:lvlJc w:val="left"/>
      <w:pPr>
        <w:ind w:left="1440" w:hanging="360"/>
      </w:pPr>
      <w:rPr>
        <w:rFonts w:ascii="Courier New" w:hAnsi="Courier New" w:cs="Courier New" w:hint="default"/>
      </w:rPr>
    </w:lvl>
    <w:lvl w:ilvl="2" w:tplc="BE2EA034" w:tentative="1">
      <w:start w:val="1"/>
      <w:numFmt w:val="bullet"/>
      <w:lvlText w:val=""/>
      <w:lvlJc w:val="left"/>
      <w:pPr>
        <w:ind w:left="2160" w:hanging="360"/>
      </w:pPr>
      <w:rPr>
        <w:rFonts w:ascii="Wingdings" w:hAnsi="Wingdings" w:hint="default"/>
      </w:rPr>
    </w:lvl>
    <w:lvl w:ilvl="3" w:tplc="8738E74E" w:tentative="1">
      <w:start w:val="1"/>
      <w:numFmt w:val="bullet"/>
      <w:lvlText w:val=""/>
      <w:lvlJc w:val="left"/>
      <w:pPr>
        <w:ind w:left="2880" w:hanging="360"/>
      </w:pPr>
      <w:rPr>
        <w:rFonts w:ascii="Symbol" w:hAnsi="Symbol" w:hint="default"/>
      </w:rPr>
    </w:lvl>
    <w:lvl w:ilvl="4" w:tplc="2FFE90A0" w:tentative="1">
      <w:start w:val="1"/>
      <w:numFmt w:val="bullet"/>
      <w:lvlText w:val="o"/>
      <w:lvlJc w:val="left"/>
      <w:pPr>
        <w:ind w:left="3600" w:hanging="360"/>
      </w:pPr>
      <w:rPr>
        <w:rFonts w:ascii="Courier New" w:hAnsi="Courier New" w:cs="Courier New" w:hint="default"/>
      </w:rPr>
    </w:lvl>
    <w:lvl w:ilvl="5" w:tplc="D85CE240" w:tentative="1">
      <w:start w:val="1"/>
      <w:numFmt w:val="bullet"/>
      <w:lvlText w:val=""/>
      <w:lvlJc w:val="left"/>
      <w:pPr>
        <w:ind w:left="4320" w:hanging="360"/>
      </w:pPr>
      <w:rPr>
        <w:rFonts w:ascii="Wingdings" w:hAnsi="Wingdings" w:hint="default"/>
      </w:rPr>
    </w:lvl>
    <w:lvl w:ilvl="6" w:tplc="77DCCC02" w:tentative="1">
      <w:start w:val="1"/>
      <w:numFmt w:val="bullet"/>
      <w:lvlText w:val=""/>
      <w:lvlJc w:val="left"/>
      <w:pPr>
        <w:ind w:left="5040" w:hanging="360"/>
      </w:pPr>
      <w:rPr>
        <w:rFonts w:ascii="Symbol" w:hAnsi="Symbol" w:hint="default"/>
      </w:rPr>
    </w:lvl>
    <w:lvl w:ilvl="7" w:tplc="E3F2600C" w:tentative="1">
      <w:start w:val="1"/>
      <w:numFmt w:val="bullet"/>
      <w:lvlText w:val="o"/>
      <w:lvlJc w:val="left"/>
      <w:pPr>
        <w:ind w:left="5760" w:hanging="360"/>
      </w:pPr>
      <w:rPr>
        <w:rFonts w:ascii="Courier New" w:hAnsi="Courier New" w:cs="Courier New" w:hint="default"/>
      </w:rPr>
    </w:lvl>
    <w:lvl w:ilvl="8" w:tplc="113A24B8" w:tentative="1">
      <w:start w:val="1"/>
      <w:numFmt w:val="bullet"/>
      <w:lvlText w:val=""/>
      <w:lvlJc w:val="left"/>
      <w:pPr>
        <w:ind w:left="6480" w:hanging="360"/>
      </w:pPr>
      <w:rPr>
        <w:rFonts w:ascii="Wingdings" w:hAnsi="Wingdings" w:hint="default"/>
      </w:rPr>
    </w:lvl>
  </w:abstractNum>
  <w:abstractNum w:abstractNumId="26" w15:restartNumberingAfterBreak="0">
    <w:nsid w:val="7F9F3AE2"/>
    <w:multiLevelType w:val="hybridMultilevel"/>
    <w:tmpl w:val="78281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3"/>
  </w:num>
  <w:num w:numId="5">
    <w:abstractNumId w:val="15"/>
  </w:num>
  <w:num w:numId="6">
    <w:abstractNumId w:val="7"/>
  </w:num>
  <w:num w:numId="7">
    <w:abstractNumId w:val="18"/>
  </w:num>
  <w:num w:numId="8">
    <w:abstractNumId w:val="22"/>
  </w:num>
  <w:num w:numId="9">
    <w:abstractNumId w:val="6"/>
  </w:num>
  <w:num w:numId="10">
    <w:abstractNumId w:val="8"/>
  </w:num>
  <w:num w:numId="11">
    <w:abstractNumId w:val="21"/>
  </w:num>
  <w:num w:numId="12">
    <w:abstractNumId w:val="1"/>
  </w:num>
  <w:num w:numId="13">
    <w:abstractNumId w:val="9"/>
  </w:num>
  <w:num w:numId="14">
    <w:abstractNumId w:val="25"/>
  </w:num>
  <w:num w:numId="15">
    <w:abstractNumId w:val="11"/>
  </w:num>
  <w:num w:numId="16">
    <w:abstractNumId w:val="5"/>
  </w:num>
  <w:num w:numId="17">
    <w:abstractNumId w:val="24"/>
  </w:num>
  <w:num w:numId="18">
    <w:abstractNumId w:val="4"/>
  </w:num>
  <w:num w:numId="19">
    <w:abstractNumId w:val="2"/>
  </w:num>
  <w:num w:numId="20">
    <w:abstractNumId w:val="16"/>
  </w:num>
  <w:num w:numId="21">
    <w:abstractNumId w:val="26"/>
  </w:num>
  <w:num w:numId="22">
    <w:abstractNumId w:val="23"/>
  </w:num>
  <w:num w:numId="23">
    <w:abstractNumId w:val="19"/>
  </w:num>
  <w:num w:numId="24">
    <w:abstractNumId w:val="12"/>
  </w:num>
  <w:num w:numId="25">
    <w:abstractNumId w:val="20"/>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F"/>
    <w:rsid w:val="00021D55"/>
    <w:rsid w:val="00046116"/>
    <w:rsid w:val="0009669E"/>
    <w:rsid w:val="000C553F"/>
    <w:rsid w:val="00106A2F"/>
    <w:rsid w:val="00237E7C"/>
    <w:rsid w:val="00266996"/>
    <w:rsid w:val="002B35D5"/>
    <w:rsid w:val="00352871"/>
    <w:rsid w:val="00414775"/>
    <w:rsid w:val="00491391"/>
    <w:rsid w:val="00564CE9"/>
    <w:rsid w:val="00573CAA"/>
    <w:rsid w:val="00661B45"/>
    <w:rsid w:val="007912A8"/>
    <w:rsid w:val="007B644E"/>
    <w:rsid w:val="007E0347"/>
    <w:rsid w:val="0083220A"/>
    <w:rsid w:val="008862EF"/>
    <w:rsid w:val="00894E88"/>
    <w:rsid w:val="0090373B"/>
    <w:rsid w:val="0094598E"/>
    <w:rsid w:val="00950DCB"/>
    <w:rsid w:val="009A1067"/>
    <w:rsid w:val="00A91129"/>
    <w:rsid w:val="00B64C08"/>
    <w:rsid w:val="00CB0724"/>
    <w:rsid w:val="00CB3592"/>
    <w:rsid w:val="00CD5A28"/>
    <w:rsid w:val="00CD5C5A"/>
    <w:rsid w:val="00D2290F"/>
    <w:rsid w:val="00D62A84"/>
    <w:rsid w:val="00DB1FDB"/>
    <w:rsid w:val="00DC1A2F"/>
    <w:rsid w:val="00DF43A8"/>
    <w:rsid w:val="00E44234"/>
    <w:rsid w:val="00F40516"/>
    <w:rsid w:val="00F4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F3E5"/>
  <w15:chartTrackingRefBased/>
  <w15:docId w15:val="{BFD70BD9-ACBC-4FC0-9B89-304EC5E9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52871"/>
    <w:pPr>
      <w:widowControl w:val="0"/>
      <w:autoSpaceDE w:val="0"/>
      <w:autoSpaceDN w:val="0"/>
      <w:spacing w:after="0" w:line="240" w:lineRule="auto"/>
      <w:ind w:left="533"/>
      <w:outlineLvl w:val="0"/>
    </w:pPr>
    <w:rPr>
      <w:rFonts w:ascii="Times New Roman" w:eastAsia="Times New Roman" w:hAnsi="Times New Roman" w:cs="Times New Roman"/>
      <w:b/>
      <w:bCs/>
      <w:sz w:val="24"/>
      <w:szCs w:val="24"/>
      <w:lang w:va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B45"/>
    <w:pPr>
      <w:ind w:left="720"/>
      <w:contextualSpacing/>
    </w:pPr>
  </w:style>
  <w:style w:type="table" w:styleId="a4">
    <w:name w:val="Table Grid"/>
    <w:basedOn w:val="a1"/>
    <w:uiPriority w:val="39"/>
    <w:rsid w:val="00F4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912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12A8"/>
    <w:pPr>
      <w:widowControl w:val="0"/>
      <w:autoSpaceDE w:val="0"/>
      <w:autoSpaceDN w:val="0"/>
      <w:spacing w:after="0" w:line="240" w:lineRule="auto"/>
    </w:pPr>
    <w:rPr>
      <w:rFonts w:ascii="Times New Roman" w:eastAsia="Times New Roman" w:hAnsi="Times New Roman" w:cs="Times New Roman"/>
      <w:lang w:val="az"/>
    </w:rPr>
  </w:style>
  <w:style w:type="table" w:customStyle="1" w:styleId="11">
    <w:name w:val="Сетка таблицы1"/>
    <w:basedOn w:val="a1"/>
    <w:next w:val="a4"/>
    <w:uiPriority w:val="39"/>
    <w:rsid w:val="00CB35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52871"/>
    <w:rPr>
      <w:rFonts w:ascii="Times New Roman" w:eastAsia="Times New Roman" w:hAnsi="Times New Roman" w:cs="Times New Roman"/>
      <w:b/>
      <w:bCs/>
      <w:sz w:val="24"/>
      <w:szCs w:val="24"/>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Gavhar Begzodova</dc:creator>
  <cp:lastModifiedBy>Gavhar Begzodova</cp:lastModifiedBy>
  <cp:revision>7</cp:revision>
  <dcterms:created xsi:type="dcterms:W3CDTF">2023-03-16T06:48:00Z</dcterms:created>
  <dcterms:modified xsi:type="dcterms:W3CDTF">2023-03-23T11:21:00Z</dcterms:modified>
</cp:coreProperties>
</file>